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44" w:rsidRDefault="004F30B4">
      <w:pPr>
        <w:pStyle w:val="Ttulo1"/>
        <w:rPr>
          <w:color w:val="FF0000"/>
          <w:sz w:val="40"/>
          <w:szCs w:val="40"/>
        </w:rPr>
      </w:pPr>
      <w:r>
        <w:rPr>
          <w:color w:val="FF0000"/>
          <w:sz w:val="40"/>
          <w:szCs w:val="40"/>
        </w:rPr>
        <w:t>PLANTILLA DE CONCRECIÓN DE LA NORMATIVA DEL XXIX CIRCUITO PROVINCIAL DE DIPUTACIÓN DE MÁLAGA</w:t>
      </w:r>
    </w:p>
    <w:p w:rsidR="00A72844" w:rsidRDefault="00A72844">
      <w:pPr>
        <w:rPr>
          <w:color w:val="FF0000"/>
        </w:rPr>
      </w:pPr>
    </w:p>
    <w:p w:rsidR="00A72844" w:rsidRDefault="004F30B4">
      <w:pPr>
        <w:jc w:val="both"/>
        <w:rPr>
          <w:color w:val="FF0000"/>
        </w:rPr>
      </w:pPr>
      <w:r>
        <w:rPr>
          <w:color w:val="FF0000"/>
        </w:rPr>
        <w:t>Tomando como base la normativa de la edición XXIX del Circuito Provincial de Ajedrez de la Diputación Provincial de Málaga, los municipios remitirán a la Delegación Malagueña de Ajedrez (</w:t>
      </w:r>
      <w:hyperlink r:id="rId8">
        <w:r>
          <w:rPr>
            <w:color w:val="3B4658"/>
            <w:u w:val="single"/>
          </w:rPr>
          <w:t>delegado@ajedrezmalaga.org</w:t>
        </w:r>
      </w:hyperlink>
      <w:r>
        <w:rPr>
          <w:color w:val="FF0000"/>
        </w:rPr>
        <w:t xml:space="preserve">) con un mínimo de 21 días de antelación, los siguientes dos elementos que serán publicados en la sección del torneo habilitada en la página web </w:t>
      </w:r>
      <w:hyperlink r:id="rId9">
        <w:r>
          <w:rPr>
            <w:color w:val="3B4658"/>
            <w:u w:val="single"/>
          </w:rPr>
          <w:t>https://ajedrezmalaga.org/circuito-diputacion/</w:t>
        </w:r>
      </w:hyperlink>
      <w:r>
        <w:rPr>
          <w:color w:val="FF0000"/>
        </w:rPr>
        <w:t>:</w:t>
      </w:r>
    </w:p>
    <w:p w:rsidR="00A72844" w:rsidRDefault="004F30B4">
      <w:pPr>
        <w:numPr>
          <w:ilvl w:val="0"/>
          <w:numId w:val="1"/>
        </w:numPr>
        <w:pBdr>
          <w:top w:val="nil"/>
          <w:left w:val="nil"/>
          <w:bottom w:val="nil"/>
          <w:right w:val="nil"/>
          <w:between w:val="nil"/>
        </w:pBdr>
        <w:spacing w:after="0"/>
        <w:jc w:val="both"/>
        <w:rPr>
          <w:color w:val="FF0000"/>
        </w:rPr>
      </w:pPr>
      <w:r>
        <w:rPr>
          <w:color w:val="FF0000"/>
        </w:rPr>
        <w:t xml:space="preserve">Cartel del evento (respetando el modelo y requisitos establecidos por la Diputación Provincial de Málaga), </w:t>
      </w:r>
    </w:p>
    <w:p w:rsidR="00A72844" w:rsidRDefault="004F30B4">
      <w:pPr>
        <w:numPr>
          <w:ilvl w:val="0"/>
          <w:numId w:val="1"/>
        </w:numPr>
        <w:pBdr>
          <w:top w:val="nil"/>
          <w:left w:val="nil"/>
          <w:bottom w:val="nil"/>
          <w:right w:val="nil"/>
          <w:between w:val="nil"/>
        </w:pBdr>
        <w:jc w:val="both"/>
        <w:rPr>
          <w:color w:val="FF0000"/>
        </w:rPr>
      </w:pPr>
      <w:bookmarkStart w:id="0" w:name="_heading=h.gjdgxs" w:colFirst="0" w:colLast="0"/>
      <w:bookmarkEnd w:id="0"/>
      <w:r>
        <w:rPr>
          <w:color w:val="FF0000"/>
        </w:rPr>
        <w:t xml:space="preserve">Concreción de las bases definidas en la citada normativa en formato Word (por si fuera precisa alguna modificación que sería comunicada al emisor), indicando los siguientes elementos, a modo de bases de cada torneo: </w:t>
      </w:r>
    </w:p>
    <w:p w:rsidR="00A72844" w:rsidRDefault="00A72844">
      <w:pPr>
        <w:spacing w:after="0" w:line="240" w:lineRule="auto"/>
        <w:jc w:val="both"/>
        <w:rPr>
          <w:b/>
          <w:color w:val="000000"/>
        </w:rPr>
      </w:pP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rPr>
          <w:b/>
          <w:color w:val="000000"/>
        </w:rPr>
        <w:t xml:space="preserve">DENOMINACIÓN DEL TORNEO </w:t>
      </w:r>
    </w:p>
    <w:p w:rsidR="00A72844" w:rsidRDefault="00A72844">
      <w:pPr>
        <w:spacing w:after="0" w:line="240" w:lineRule="auto"/>
        <w:jc w:val="both"/>
        <w:rPr>
          <w:b/>
          <w:color w:val="000000"/>
        </w:rPr>
      </w:pP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rPr>
          <w:b/>
          <w:color w:val="000000"/>
        </w:rPr>
        <w:t>Municipio:</w:t>
      </w:r>
      <w:r>
        <w:rPr>
          <w:b/>
          <w:color w:val="000000"/>
        </w:rPr>
        <w:tab/>
      </w:r>
      <w:r>
        <w:rPr>
          <w:b/>
          <w:color w:val="000000"/>
        </w:rPr>
        <w:tab/>
      </w:r>
    </w:p>
    <w:p w:rsidR="00A72844" w:rsidRDefault="00A72844">
      <w:pPr>
        <w:spacing w:after="0" w:line="240" w:lineRule="auto"/>
        <w:jc w:val="both"/>
        <w:rPr>
          <w:b/>
          <w:color w:val="000000"/>
        </w:rPr>
      </w:pP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rPr>
          <w:b/>
          <w:color w:val="000000"/>
        </w:rPr>
        <w:t xml:space="preserve">Lugar y dirección: </w:t>
      </w:r>
    </w:p>
    <w:p w:rsidR="00A72844" w:rsidRDefault="00A72844">
      <w:pPr>
        <w:spacing w:after="0" w:line="240" w:lineRule="auto"/>
        <w:jc w:val="both"/>
      </w:pP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rPr>
          <w:b/>
          <w:color w:val="000000"/>
        </w:rPr>
        <w:t>Fecha:</w:t>
      </w:r>
    </w:p>
    <w:p w:rsidR="00A72844" w:rsidRDefault="00A72844">
      <w:pPr>
        <w:spacing w:after="0" w:line="240" w:lineRule="auto"/>
        <w:jc w:val="both"/>
        <w:rPr>
          <w:b/>
          <w:color w:val="000000"/>
        </w:rPr>
      </w:pP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rPr>
          <w:b/>
          <w:color w:val="000000"/>
        </w:rPr>
        <w:t>Hora Inicio:</w:t>
      </w:r>
    </w:p>
    <w:p w:rsidR="00A72844" w:rsidRDefault="00A72844">
      <w:pPr>
        <w:spacing w:after="0" w:line="240" w:lineRule="auto"/>
        <w:jc w:val="both"/>
        <w:rPr>
          <w:b/>
          <w:color w:val="000000"/>
        </w:rPr>
      </w:pPr>
    </w:p>
    <w:p w:rsidR="00A72844" w:rsidRDefault="00A72844">
      <w:pPr>
        <w:spacing w:after="0" w:line="240" w:lineRule="auto"/>
        <w:jc w:val="both"/>
        <w:rPr>
          <w:b/>
          <w:color w:val="000000"/>
        </w:rPr>
      </w:pPr>
    </w:p>
    <w:p w:rsidR="00A72844" w:rsidRDefault="004F30B4">
      <w:pPr>
        <w:spacing w:after="0" w:line="240" w:lineRule="auto"/>
        <w:jc w:val="both"/>
        <w:rPr>
          <w:b/>
        </w:rPr>
      </w:pPr>
      <w:r>
        <w:rPr>
          <w:b/>
        </w:rPr>
        <w:t>Sistema de competición:</w:t>
      </w:r>
    </w:p>
    <w:p w:rsidR="00A72844" w:rsidRDefault="00A72844">
      <w:pPr>
        <w:spacing w:after="0" w:line="240" w:lineRule="auto"/>
        <w:jc w:val="both"/>
        <w:rPr>
          <w:b/>
        </w:rPr>
      </w:pPr>
    </w:p>
    <w:p w:rsidR="00A72844" w:rsidRDefault="004F30B4">
      <w:pPr>
        <w:spacing w:after="0" w:line="240" w:lineRule="auto"/>
        <w:jc w:val="both"/>
      </w:pPr>
      <w:r>
        <w:t xml:space="preserve">Sistema suizo a </w:t>
      </w:r>
      <w:r>
        <w:rPr>
          <w:b/>
        </w:rPr>
        <w:t>7 rondas</w:t>
      </w:r>
      <w:r>
        <w:t xml:space="preserve">  y ritmo de juego </w:t>
      </w:r>
      <w:r>
        <w:rPr>
          <w:b/>
        </w:rPr>
        <w:t>8’+3”</w:t>
      </w:r>
      <w:r>
        <w:rPr>
          <w:color w:val="FF0000"/>
        </w:rPr>
        <w:t xml:space="preserve"> </w:t>
      </w:r>
      <w:r>
        <w:t xml:space="preserve">por jugada. </w:t>
      </w:r>
    </w:p>
    <w:p w:rsidR="00A72844" w:rsidRDefault="00A72844">
      <w:pPr>
        <w:spacing w:after="0" w:line="240" w:lineRule="auto"/>
        <w:jc w:val="both"/>
      </w:pPr>
    </w:p>
    <w:p w:rsidR="00A72844" w:rsidRDefault="004F30B4">
      <w:pPr>
        <w:spacing w:after="0" w:line="240" w:lineRule="auto"/>
        <w:jc w:val="both"/>
        <w:rPr>
          <w:b/>
          <w:color w:val="000000"/>
        </w:rPr>
      </w:pPr>
      <w:r>
        <w:t>Torneo valedero ELO FADA</w:t>
      </w:r>
    </w:p>
    <w:p w:rsidR="00A72844" w:rsidRDefault="00A72844">
      <w:pPr>
        <w:spacing w:after="0" w:line="240" w:lineRule="auto"/>
        <w:jc w:val="both"/>
        <w:rPr>
          <w:b/>
          <w:color w:val="000000"/>
        </w:rPr>
      </w:pP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rPr>
          <w:b/>
          <w:color w:val="000000"/>
        </w:rPr>
        <w:t>Participantes:</w:t>
      </w: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t xml:space="preserve">Cualquier persona puede participar, sin condición de edad, sexo o nacionalidad, cumpliendo los requisitos de inscripción. </w:t>
      </w:r>
    </w:p>
    <w:p w:rsidR="00A72844" w:rsidRDefault="00A72844">
      <w:pPr>
        <w:spacing w:after="0" w:line="240" w:lineRule="auto"/>
        <w:jc w:val="both"/>
        <w:rPr>
          <w:b/>
          <w:color w:val="000000"/>
        </w:rPr>
      </w:pP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rPr>
          <w:b/>
          <w:color w:val="000000"/>
        </w:rPr>
        <w:t>Aforo:</w:t>
      </w:r>
    </w:p>
    <w:p w:rsidR="00A72844" w:rsidRDefault="00A72844">
      <w:pPr>
        <w:spacing w:after="0" w:line="240" w:lineRule="auto"/>
        <w:jc w:val="both"/>
        <w:rPr>
          <w:b/>
          <w:color w:val="000000"/>
        </w:rPr>
      </w:pPr>
    </w:p>
    <w:p w:rsidR="00A72844" w:rsidRDefault="004F30B4">
      <w:pPr>
        <w:spacing w:after="0" w:line="240" w:lineRule="auto"/>
        <w:jc w:val="both"/>
        <w:rPr>
          <w:i/>
          <w:color w:val="FF0000"/>
        </w:rPr>
      </w:pPr>
      <w:r>
        <w:rPr>
          <w:i/>
          <w:color w:val="FF0000"/>
        </w:rPr>
        <w:t>Según espacio habilitado para el torneo, se establece un aforo máximo de 150 participantes.</w:t>
      </w:r>
    </w:p>
    <w:p w:rsidR="00A72844" w:rsidRDefault="00A72844">
      <w:pPr>
        <w:spacing w:after="0" w:line="240" w:lineRule="auto"/>
        <w:jc w:val="both"/>
        <w:rPr>
          <w:b/>
          <w:color w:val="000000"/>
        </w:rPr>
      </w:pP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rPr>
          <w:b/>
          <w:color w:val="000000"/>
        </w:rPr>
        <w:lastRenderedPageBreak/>
        <w:t>Inscripciones.</w:t>
      </w:r>
    </w:p>
    <w:p w:rsidR="00A72844" w:rsidRDefault="00A72844">
      <w:pPr>
        <w:keepLines/>
        <w:tabs>
          <w:tab w:val="left" w:pos="0"/>
        </w:tabs>
        <w:spacing w:after="120" w:line="240" w:lineRule="auto"/>
        <w:jc w:val="both"/>
      </w:pPr>
    </w:p>
    <w:p w:rsidR="00A72844" w:rsidRDefault="004F30B4">
      <w:pPr>
        <w:keepLines/>
        <w:tabs>
          <w:tab w:val="left" w:pos="0"/>
        </w:tabs>
        <w:spacing w:after="120" w:line="240" w:lineRule="auto"/>
        <w:jc w:val="both"/>
      </w:pPr>
      <w:r>
        <w:t>El plazo de inscripción finalizará 24 horas antes del inicio de cada torneo o cuando se completen las plazas disponibles en cada caso. No se admitirán inscripciones el mismo día del torneo.</w:t>
      </w:r>
    </w:p>
    <w:p w:rsidR="00A72844" w:rsidRDefault="00A72844">
      <w:pPr>
        <w:spacing w:after="0" w:line="240" w:lineRule="auto"/>
        <w:jc w:val="both"/>
        <w:rPr>
          <w:b/>
          <w:color w:val="000000"/>
        </w:rPr>
      </w:pPr>
    </w:p>
    <w:p w:rsidR="00A72844" w:rsidRDefault="004F30B4">
      <w:pPr>
        <w:spacing w:after="0" w:line="240" w:lineRule="auto"/>
        <w:jc w:val="both"/>
        <w:rPr>
          <w:b/>
          <w:i/>
          <w:color w:val="000000"/>
        </w:rPr>
      </w:pPr>
      <w:r>
        <w:rPr>
          <w:b/>
          <w:i/>
          <w:color w:val="000000"/>
        </w:rPr>
        <w:t>Enlace para inscripción y consulta de inscritos:</w:t>
      </w:r>
    </w:p>
    <w:p w:rsidR="00A72844" w:rsidRDefault="00A72844">
      <w:pPr>
        <w:spacing w:after="0" w:line="240" w:lineRule="auto"/>
        <w:jc w:val="both"/>
        <w:rPr>
          <w:color w:val="000000"/>
        </w:rPr>
      </w:pPr>
    </w:p>
    <w:p w:rsidR="00A72844" w:rsidRDefault="004F30B4">
      <w:pPr>
        <w:spacing w:after="0" w:line="240" w:lineRule="auto"/>
        <w:jc w:val="both"/>
      </w:pPr>
      <w:r>
        <w:rPr>
          <w:color w:val="000000"/>
        </w:rPr>
        <w:t xml:space="preserve">Se habilitará una sección para el torneo en la web </w:t>
      </w:r>
      <w:hyperlink r:id="rId10">
        <w:r>
          <w:rPr>
            <w:color w:val="3B4658"/>
            <w:u w:val="single"/>
          </w:rPr>
          <w:t>https://ajedrezmalaga.org/</w:t>
        </w:r>
      </w:hyperlink>
      <w:r>
        <w:t xml:space="preserve"> incluyendo formulario de inscripción, consulta de inscritos y opción de darse de baja con más de 24 horas de antelación.</w:t>
      </w:r>
    </w:p>
    <w:p w:rsidR="00A72844" w:rsidRDefault="00A72844">
      <w:pPr>
        <w:spacing w:after="0" w:line="240" w:lineRule="auto"/>
        <w:jc w:val="both"/>
        <w:rPr>
          <w:b/>
          <w:color w:val="000000"/>
        </w:rPr>
      </w:pPr>
    </w:p>
    <w:p w:rsidR="00A72844" w:rsidRDefault="004F30B4">
      <w:pPr>
        <w:spacing w:after="0" w:line="240" w:lineRule="auto"/>
        <w:jc w:val="both"/>
        <w:rPr>
          <w:b/>
          <w:i/>
          <w:color w:val="000000"/>
        </w:rPr>
      </w:pPr>
      <w:r>
        <w:rPr>
          <w:b/>
          <w:i/>
          <w:color w:val="000000"/>
        </w:rPr>
        <w:t>Precio de inscripción y forma de pago:</w:t>
      </w:r>
    </w:p>
    <w:p w:rsidR="00A72844" w:rsidRDefault="00A72844">
      <w:pPr>
        <w:spacing w:after="0" w:line="240" w:lineRule="auto"/>
        <w:jc w:val="both"/>
        <w:rPr>
          <w:b/>
          <w:color w:val="000000"/>
        </w:rPr>
      </w:pPr>
    </w:p>
    <w:p w:rsidR="00A72844" w:rsidRDefault="004F30B4">
      <w:pPr>
        <w:spacing w:after="0" w:line="240" w:lineRule="auto"/>
        <w:jc w:val="both"/>
        <w:rPr>
          <w:i/>
          <w:color w:val="FF0000"/>
        </w:rPr>
      </w:pPr>
      <w:r>
        <w:rPr>
          <w:i/>
          <w:color w:val="FF0000"/>
        </w:rPr>
        <w:t>Será establecido por el municipio organizador, teniendo en cuenta que se deberá abonar 2 euros por cada jugador no federado a la DMDA.</w:t>
      </w:r>
    </w:p>
    <w:p w:rsidR="00A72844" w:rsidRDefault="004F30B4">
      <w:pPr>
        <w:spacing w:after="0" w:line="240" w:lineRule="auto"/>
        <w:jc w:val="both"/>
        <w:rPr>
          <w:i/>
          <w:color w:val="FF0000"/>
        </w:rPr>
      </w:pPr>
      <w:r>
        <w:rPr>
          <w:i/>
          <w:color w:val="FF0000"/>
        </w:rPr>
        <w:t>El municipio organizador definirá si el pago previo es obligatorio o no, y en función de su decisión, indicará la forma de pago, sea in situ (en metálico, TPV…), o pago telemático previo (transferencia, pasarela de pago…), o ambas opciones si así lo desea el organizador.</w:t>
      </w:r>
    </w:p>
    <w:p w:rsidR="00A72844" w:rsidRDefault="00A72844">
      <w:pPr>
        <w:spacing w:after="0" w:line="240" w:lineRule="auto"/>
        <w:jc w:val="both"/>
        <w:rPr>
          <w:b/>
          <w:color w:val="000000"/>
        </w:rPr>
      </w:pPr>
    </w:p>
    <w:p w:rsidR="00A72844" w:rsidRDefault="004F30B4">
      <w:pPr>
        <w:spacing w:after="0" w:line="240" w:lineRule="auto"/>
        <w:jc w:val="both"/>
        <w:rPr>
          <w:b/>
          <w:i/>
          <w:color w:val="000000"/>
        </w:rPr>
      </w:pPr>
      <w:r>
        <w:rPr>
          <w:b/>
          <w:i/>
          <w:color w:val="000000"/>
        </w:rPr>
        <w:t>Confirmación de inscripción:</w:t>
      </w:r>
    </w:p>
    <w:p w:rsidR="00A72844" w:rsidRDefault="00A72844">
      <w:pPr>
        <w:spacing w:after="0" w:line="240" w:lineRule="auto"/>
        <w:jc w:val="both"/>
        <w:rPr>
          <w:b/>
          <w:color w:val="000000"/>
        </w:rPr>
      </w:pPr>
    </w:p>
    <w:p w:rsidR="00A72844" w:rsidRDefault="004F30B4">
      <w:pPr>
        <w:spacing w:after="0" w:line="240" w:lineRule="auto"/>
        <w:jc w:val="both"/>
      </w:pPr>
      <w:r>
        <w:t>No será preciso recibir confirmación de inscripción sino que se considerará firme la inscripción del jugador que aparezca en el listado de inscritos, independientemente de que aparezca o no en el enlace de “info64”. Si se diera el caso de un jugador inscrito en la web de la DMDA, que no apareciera en “info64” el día del torneo, el equipo arbitral tendrá la obligación de incluido en el torneo.</w:t>
      </w:r>
    </w:p>
    <w:p w:rsidR="00A72844" w:rsidRDefault="004F30B4">
      <w:pPr>
        <w:spacing w:after="0" w:line="240" w:lineRule="auto"/>
        <w:jc w:val="both"/>
        <w:rPr>
          <w:color w:val="000000"/>
        </w:rPr>
      </w:pPr>
      <w:r>
        <w:rPr>
          <w:i/>
          <w:color w:val="FF0000"/>
        </w:rPr>
        <w:t>(Esto podría ser precisado por aquellos municipios organizadores que establezcan el pago previo)</w:t>
      </w:r>
    </w:p>
    <w:p w:rsidR="00A72844" w:rsidRDefault="00A72844">
      <w:pPr>
        <w:spacing w:after="0" w:line="240" w:lineRule="auto"/>
        <w:jc w:val="both"/>
        <w:rPr>
          <w:b/>
          <w:color w:val="000000"/>
        </w:rPr>
      </w:pP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rPr>
          <w:b/>
          <w:color w:val="000000"/>
        </w:rPr>
        <w:t>Emparejamientos:</w:t>
      </w:r>
    </w:p>
    <w:p w:rsidR="00A72844" w:rsidRDefault="00A72844">
      <w:pPr>
        <w:spacing w:after="0" w:line="240" w:lineRule="auto"/>
        <w:jc w:val="both"/>
        <w:rPr>
          <w:b/>
          <w:color w:val="000000"/>
        </w:rPr>
      </w:pPr>
    </w:p>
    <w:p w:rsidR="00A72844" w:rsidRDefault="004F30B4">
      <w:pPr>
        <w:keepLines/>
        <w:tabs>
          <w:tab w:val="left" w:pos="0"/>
        </w:tabs>
        <w:spacing w:after="120" w:line="240" w:lineRule="auto"/>
        <w:jc w:val="both"/>
      </w:pPr>
      <w:r>
        <w:t xml:space="preserve">Los emparejamientos de cada torneo serán publicados en la web </w:t>
      </w:r>
      <w:hyperlink r:id="rId11">
        <w:r>
          <w:rPr>
            <w:color w:val="3B4658"/>
            <w:u w:val="single"/>
          </w:rPr>
          <w:t>https://info64.org/</w:t>
        </w:r>
      </w:hyperlink>
      <w:r>
        <w:t xml:space="preserve"> siguiendo el siguiente protocolo: el emparejamiento de la primera ronda de cada torneo se realizará 5-10 minutos antes de la hora de inicio del torneo con los jugadores que se hayan inscrito en el plazo establecido y que no hayan cancelado de alguna forma su inscripción.</w:t>
      </w:r>
    </w:p>
    <w:p w:rsidR="00A72844" w:rsidRDefault="00A72844">
      <w:pPr>
        <w:spacing w:after="0" w:line="240" w:lineRule="auto"/>
        <w:jc w:val="both"/>
        <w:rPr>
          <w:b/>
          <w:color w:val="000000"/>
        </w:rPr>
      </w:pPr>
    </w:p>
    <w:p w:rsidR="00A72844" w:rsidRDefault="004F30B4">
      <w:pPr>
        <w:spacing w:after="0" w:line="240" w:lineRule="auto"/>
        <w:jc w:val="both"/>
        <w:rPr>
          <w:b/>
          <w:color w:val="000000"/>
        </w:rPr>
      </w:pPr>
      <w:r>
        <w:rPr>
          <w:b/>
          <w:color w:val="000000"/>
        </w:rPr>
        <w:t>Categorías y premios:</w:t>
      </w:r>
    </w:p>
    <w:p w:rsidR="00A72844" w:rsidRDefault="00A72844">
      <w:pPr>
        <w:keepLines/>
        <w:tabs>
          <w:tab w:val="left" w:pos="0"/>
        </w:tabs>
        <w:spacing w:after="120" w:line="240" w:lineRule="auto"/>
        <w:jc w:val="both"/>
      </w:pPr>
    </w:p>
    <w:p w:rsidR="00A72844" w:rsidRDefault="004F30B4">
      <w:pPr>
        <w:keepLines/>
        <w:tabs>
          <w:tab w:val="left" w:pos="0"/>
        </w:tabs>
        <w:spacing w:after="120" w:line="240" w:lineRule="auto"/>
        <w:jc w:val="both"/>
      </w:pPr>
      <w:r>
        <w:t xml:space="preserve">Se establecen las siguientes categorías. </w:t>
      </w:r>
    </w:p>
    <w:tbl>
      <w:tblPr>
        <w:tblStyle w:val="a"/>
        <w:tblW w:w="4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9"/>
        <w:gridCol w:w="2126"/>
      </w:tblGrid>
      <w:tr w:rsidR="00A72844">
        <w:trPr>
          <w:jc w:val="center"/>
        </w:trPr>
        <w:tc>
          <w:tcPr>
            <w:tcW w:w="1969" w:type="dxa"/>
            <w:shd w:val="clear" w:color="auto" w:fill="D9D9D9"/>
          </w:tcPr>
          <w:p w:rsidR="00A72844" w:rsidRDefault="004F30B4">
            <w:pPr>
              <w:keepLines/>
              <w:tabs>
                <w:tab w:val="left" w:pos="0"/>
              </w:tabs>
              <w:spacing w:after="120" w:line="240" w:lineRule="auto"/>
              <w:jc w:val="center"/>
              <w:rPr>
                <w:b/>
              </w:rPr>
            </w:pPr>
            <w:r>
              <w:rPr>
                <w:b/>
              </w:rPr>
              <w:t>Categoría</w:t>
            </w:r>
          </w:p>
        </w:tc>
        <w:tc>
          <w:tcPr>
            <w:tcW w:w="2126" w:type="dxa"/>
            <w:shd w:val="clear" w:color="auto" w:fill="D9D9D9"/>
          </w:tcPr>
          <w:p w:rsidR="00A72844" w:rsidRDefault="004F30B4">
            <w:pPr>
              <w:keepLines/>
              <w:tabs>
                <w:tab w:val="left" w:pos="0"/>
              </w:tabs>
              <w:spacing w:after="120" w:line="240" w:lineRule="auto"/>
              <w:jc w:val="center"/>
              <w:rPr>
                <w:b/>
              </w:rPr>
            </w:pPr>
            <w:r>
              <w:rPr>
                <w:b/>
              </w:rPr>
              <w:t>Año nacimiento</w:t>
            </w:r>
          </w:p>
        </w:tc>
      </w:tr>
      <w:tr w:rsidR="00A72844">
        <w:trPr>
          <w:trHeight w:val="346"/>
          <w:jc w:val="center"/>
        </w:trPr>
        <w:tc>
          <w:tcPr>
            <w:tcW w:w="1969" w:type="dxa"/>
          </w:tcPr>
          <w:p w:rsidR="00A72844" w:rsidRDefault="004F30B4">
            <w:pPr>
              <w:keepLines/>
              <w:tabs>
                <w:tab w:val="left" w:pos="0"/>
              </w:tabs>
              <w:spacing w:after="120" w:line="240" w:lineRule="auto"/>
              <w:jc w:val="center"/>
            </w:pPr>
            <w:r>
              <w:t>Sub-8</w:t>
            </w:r>
          </w:p>
        </w:tc>
        <w:tc>
          <w:tcPr>
            <w:tcW w:w="2126" w:type="dxa"/>
          </w:tcPr>
          <w:p w:rsidR="00A72844" w:rsidRDefault="004F30B4">
            <w:pPr>
              <w:keepLines/>
              <w:tabs>
                <w:tab w:val="left" w:pos="0"/>
              </w:tabs>
              <w:spacing w:after="120" w:line="240" w:lineRule="auto"/>
              <w:jc w:val="center"/>
            </w:pPr>
            <w:r>
              <w:t>2015 en adelante</w:t>
            </w:r>
          </w:p>
        </w:tc>
      </w:tr>
      <w:tr w:rsidR="00A72844">
        <w:trPr>
          <w:trHeight w:val="346"/>
          <w:jc w:val="center"/>
        </w:trPr>
        <w:tc>
          <w:tcPr>
            <w:tcW w:w="1969" w:type="dxa"/>
          </w:tcPr>
          <w:p w:rsidR="00A72844" w:rsidRDefault="004F30B4">
            <w:pPr>
              <w:keepLines/>
              <w:tabs>
                <w:tab w:val="left" w:pos="0"/>
              </w:tabs>
              <w:spacing w:after="120" w:line="240" w:lineRule="auto"/>
              <w:jc w:val="center"/>
            </w:pPr>
            <w:r>
              <w:t>Sub-10</w:t>
            </w:r>
          </w:p>
        </w:tc>
        <w:tc>
          <w:tcPr>
            <w:tcW w:w="2126" w:type="dxa"/>
          </w:tcPr>
          <w:p w:rsidR="00A72844" w:rsidRDefault="004F30B4">
            <w:pPr>
              <w:keepLines/>
              <w:tabs>
                <w:tab w:val="left" w:pos="0"/>
              </w:tabs>
              <w:spacing w:after="120" w:line="240" w:lineRule="auto"/>
              <w:jc w:val="center"/>
            </w:pPr>
            <w:r>
              <w:t>2013 en adelante</w:t>
            </w:r>
          </w:p>
        </w:tc>
      </w:tr>
      <w:tr w:rsidR="00A72844">
        <w:trPr>
          <w:jc w:val="center"/>
        </w:trPr>
        <w:tc>
          <w:tcPr>
            <w:tcW w:w="1969" w:type="dxa"/>
          </w:tcPr>
          <w:p w:rsidR="00A72844" w:rsidRDefault="004F30B4">
            <w:pPr>
              <w:keepLines/>
              <w:tabs>
                <w:tab w:val="left" w:pos="0"/>
              </w:tabs>
              <w:spacing w:after="120" w:line="240" w:lineRule="auto"/>
              <w:jc w:val="center"/>
            </w:pPr>
            <w:r>
              <w:t>Sub-12</w:t>
            </w:r>
          </w:p>
        </w:tc>
        <w:tc>
          <w:tcPr>
            <w:tcW w:w="2126" w:type="dxa"/>
          </w:tcPr>
          <w:p w:rsidR="00A72844" w:rsidRDefault="004F30B4">
            <w:pPr>
              <w:keepLines/>
              <w:tabs>
                <w:tab w:val="left" w:pos="0"/>
              </w:tabs>
              <w:spacing w:after="120" w:line="240" w:lineRule="auto"/>
              <w:jc w:val="center"/>
            </w:pPr>
            <w:r>
              <w:t>2011 en adelante</w:t>
            </w:r>
          </w:p>
        </w:tc>
      </w:tr>
      <w:tr w:rsidR="00A72844">
        <w:trPr>
          <w:jc w:val="center"/>
        </w:trPr>
        <w:tc>
          <w:tcPr>
            <w:tcW w:w="1969" w:type="dxa"/>
          </w:tcPr>
          <w:p w:rsidR="00A72844" w:rsidRDefault="004F30B4">
            <w:pPr>
              <w:keepLines/>
              <w:tabs>
                <w:tab w:val="left" w:pos="0"/>
              </w:tabs>
              <w:spacing w:after="120" w:line="240" w:lineRule="auto"/>
              <w:jc w:val="center"/>
            </w:pPr>
            <w:r>
              <w:t>Sub-14</w:t>
            </w:r>
          </w:p>
        </w:tc>
        <w:tc>
          <w:tcPr>
            <w:tcW w:w="2126" w:type="dxa"/>
          </w:tcPr>
          <w:p w:rsidR="00A72844" w:rsidRDefault="004F30B4">
            <w:pPr>
              <w:keepLines/>
              <w:tabs>
                <w:tab w:val="left" w:pos="0"/>
              </w:tabs>
              <w:spacing w:after="120" w:line="240" w:lineRule="auto"/>
              <w:jc w:val="center"/>
            </w:pPr>
            <w:r>
              <w:t>2009 en adelante</w:t>
            </w:r>
          </w:p>
        </w:tc>
      </w:tr>
      <w:tr w:rsidR="00A72844">
        <w:trPr>
          <w:jc w:val="center"/>
        </w:trPr>
        <w:tc>
          <w:tcPr>
            <w:tcW w:w="1969" w:type="dxa"/>
          </w:tcPr>
          <w:p w:rsidR="00A72844" w:rsidRDefault="004F30B4">
            <w:pPr>
              <w:keepLines/>
              <w:tabs>
                <w:tab w:val="left" w:pos="0"/>
              </w:tabs>
              <w:spacing w:after="120" w:line="240" w:lineRule="auto"/>
              <w:jc w:val="center"/>
            </w:pPr>
            <w:r>
              <w:t>Sub-16</w:t>
            </w:r>
          </w:p>
        </w:tc>
        <w:tc>
          <w:tcPr>
            <w:tcW w:w="2126" w:type="dxa"/>
          </w:tcPr>
          <w:p w:rsidR="00A72844" w:rsidRDefault="004F30B4">
            <w:pPr>
              <w:keepLines/>
              <w:tabs>
                <w:tab w:val="left" w:pos="0"/>
              </w:tabs>
              <w:spacing w:after="120" w:line="240" w:lineRule="auto"/>
              <w:jc w:val="center"/>
            </w:pPr>
            <w:r>
              <w:t>2007 en adelante</w:t>
            </w:r>
          </w:p>
        </w:tc>
      </w:tr>
      <w:tr w:rsidR="00A72844">
        <w:trPr>
          <w:jc w:val="center"/>
        </w:trPr>
        <w:tc>
          <w:tcPr>
            <w:tcW w:w="1969" w:type="dxa"/>
          </w:tcPr>
          <w:p w:rsidR="00A72844" w:rsidRDefault="004F30B4">
            <w:pPr>
              <w:keepLines/>
              <w:tabs>
                <w:tab w:val="left" w:pos="0"/>
              </w:tabs>
              <w:spacing w:after="120" w:line="240" w:lineRule="auto"/>
              <w:jc w:val="center"/>
            </w:pPr>
            <w:r>
              <w:t>Sub-18</w:t>
            </w:r>
          </w:p>
        </w:tc>
        <w:tc>
          <w:tcPr>
            <w:tcW w:w="2126" w:type="dxa"/>
          </w:tcPr>
          <w:p w:rsidR="00A72844" w:rsidRDefault="004F30B4">
            <w:pPr>
              <w:keepLines/>
              <w:tabs>
                <w:tab w:val="left" w:pos="0"/>
              </w:tabs>
              <w:spacing w:after="120" w:line="240" w:lineRule="auto"/>
              <w:jc w:val="center"/>
            </w:pPr>
            <w:r>
              <w:t>2005 en adelante</w:t>
            </w:r>
          </w:p>
        </w:tc>
      </w:tr>
      <w:tr w:rsidR="00A72844">
        <w:trPr>
          <w:trHeight w:val="460"/>
          <w:jc w:val="center"/>
        </w:trPr>
        <w:tc>
          <w:tcPr>
            <w:tcW w:w="1969" w:type="dxa"/>
          </w:tcPr>
          <w:p w:rsidR="00A72844" w:rsidRDefault="004F30B4">
            <w:pPr>
              <w:keepLines/>
              <w:tabs>
                <w:tab w:val="left" w:pos="0"/>
              </w:tabs>
              <w:spacing w:after="120" w:line="240" w:lineRule="auto"/>
              <w:jc w:val="center"/>
            </w:pPr>
            <w:r>
              <w:t>Absoluto</w:t>
            </w:r>
          </w:p>
        </w:tc>
        <w:tc>
          <w:tcPr>
            <w:tcW w:w="2126" w:type="dxa"/>
          </w:tcPr>
          <w:p w:rsidR="00A72844" w:rsidRDefault="004F30B4">
            <w:pPr>
              <w:keepLines/>
              <w:tabs>
                <w:tab w:val="left" w:pos="0"/>
              </w:tabs>
              <w:spacing w:after="120" w:line="240" w:lineRule="auto"/>
              <w:jc w:val="center"/>
            </w:pPr>
            <w:r>
              <w:t>Anterior a 2005</w:t>
            </w:r>
          </w:p>
        </w:tc>
      </w:tr>
    </w:tbl>
    <w:p w:rsidR="00A72844" w:rsidRDefault="00A72844">
      <w:pPr>
        <w:keepLines/>
        <w:tabs>
          <w:tab w:val="left" w:pos="0"/>
        </w:tabs>
        <w:spacing w:after="120" w:line="240" w:lineRule="auto"/>
        <w:jc w:val="both"/>
      </w:pPr>
    </w:p>
    <w:p w:rsidR="00A72844" w:rsidRDefault="004F30B4">
      <w:pPr>
        <w:spacing w:after="0" w:line="240" w:lineRule="auto"/>
        <w:jc w:val="both"/>
        <w:rPr>
          <w:color w:val="000000"/>
        </w:rPr>
      </w:pPr>
      <w:r>
        <w:rPr>
          <w:color w:val="000000"/>
        </w:rPr>
        <w:t>En base a éstas se entregarán los siguientes premios:</w:t>
      </w:r>
    </w:p>
    <w:p w:rsidR="00A72844" w:rsidRDefault="004F30B4">
      <w:pPr>
        <w:spacing w:after="0" w:line="240" w:lineRule="auto"/>
        <w:jc w:val="both"/>
        <w:rPr>
          <w:color w:val="000000"/>
        </w:rPr>
      </w:pPr>
      <w:r>
        <w:rPr>
          <w:color w:val="000000"/>
        </w:rPr>
        <w:lastRenderedPageBreak/>
        <w:t>     </w:t>
      </w:r>
    </w:p>
    <w:p w:rsidR="00A72844" w:rsidRDefault="00E54991">
      <w:pPr>
        <w:spacing w:after="0" w:line="240" w:lineRule="auto"/>
        <w:jc w:val="both"/>
        <w:rPr>
          <w:i/>
          <w:color w:val="FF0000"/>
        </w:rPr>
      </w:pPr>
      <w:r>
        <w:rPr>
          <w:i/>
          <w:color w:val="FF0000"/>
        </w:rPr>
        <w:t>En la reunión con los responsables de cada municipio s</w:t>
      </w:r>
      <w:r w:rsidR="00BE4E92">
        <w:rPr>
          <w:i/>
          <w:color w:val="FF0000"/>
        </w:rPr>
        <w:t>e fija</w:t>
      </w:r>
      <w:r>
        <w:rPr>
          <w:i/>
          <w:color w:val="FF0000"/>
        </w:rPr>
        <w:t>ro</w:t>
      </w:r>
      <w:r w:rsidR="00BE4E92">
        <w:rPr>
          <w:i/>
          <w:color w:val="FF0000"/>
        </w:rPr>
        <w:t xml:space="preserve">n </w:t>
      </w:r>
      <w:r w:rsidR="008F7C91">
        <w:rPr>
          <w:i/>
          <w:color w:val="FF0000"/>
        </w:rPr>
        <w:t xml:space="preserve">por los municipios representados, </w:t>
      </w:r>
      <w:r>
        <w:rPr>
          <w:i/>
          <w:color w:val="FF0000"/>
        </w:rPr>
        <w:t>como mínimos para cada torneo</w:t>
      </w:r>
      <w:r w:rsidR="004F30B4">
        <w:rPr>
          <w:i/>
          <w:color w:val="FF0000"/>
        </w:rPr>
        <w:t xml:space="preserve">: 2 </w:t>
      </w:r>
      <w:r w:rsidR="008F7C91">
        <w:rPr>
          <w:i/>
          <w:color w:val="FF0000"/>
        </w:rPr>
        <w:t xml:space="preserve">trofeos </w:t>
      </w:r>
      <w:r w:rsidR="004F30B4">
        <w:rPr>
          <w:i/>
          <w:color w:val="FF0000"/>
        </w:rPr>
        <w:t>por cada categoría “Sub” (</w:t>
      </w:r>
      <w:r w:rsidR="00BE4E92">
        <w:rPr>
          <w:i/>
          <w:color w:val="FF0000"/>
        </w:rPr>
        <w:t>absoluto y femenino), en total 12</w:t>
      </w:r>
      <w:r w:rsidR="004F30B4">
        <w:rPr>
          <w:i/>
          <w:color w:val="FF0000"/>
        </w:rPr>
        <w:t xml:space="preserve"> </w:t>
      </w:r>
      <w:r w:rsidR="008F7C91">
        <w:rPr>
          <w:i/>
          <w:color w:val="FF0000"/>
        </w:rPr>
        <w:t xml:space="preserve">trofeos </w:t>
      </w:r>
      <w:r w:rsidR="004F30B4">
        <w:rPr>
          <w:i/>
          <w:color w:val="FF0000"/>
        </w:rPr>
        <w:t xml:space="preserve">“Sub”, y 6 </w:t>
      </w:r>
      <w:r w:rsidR="008F7C91">
        <w:rPr>
          <w:i/>
          <w:color w:val="FF0000"/>
        </w:rPr>
        <w:t xml:space="preserve">trofeos </w:t>
      </w:r>
      <w:r w:rsidR="004F30B4">
        <w:rPr>
          <w:i/>
          <w:color w:val="FF0000"/>
        </w:rPr>
        <w:t>en categoría absoluta (3 absolutos y 3 femeninos).</w:t>
      </w:r>
      <w:r>
        <w:rPr>
          <w:i/>
          <w:color w:val="FF0000"/>
        </w:rPr>
        <w:t xml:space="preserve"> </w:t>
      </w:r>
      <w:bookmarkStart w:id="1" w:name="_GoBack"/>
      <w:bookmarkEnd w:id="1"/>
    </w:p>
    <w:p w:rsidR="00A72844" w:rsidRDefault="00A72844">
      <w:pPr>
        <w:spacing w:after="0" w:line="240" w:lineRule="auto"/>
        <w:jc w:val="both"/>
        <w:rPr>
          <w:i/>
          <w:color w:val="FF0000"/>
        </w:rPr>
      </w:pPr>
    </w:p>
    <w:p w:rsidR="00A72844" w:rsidRDefault="004F30B4">
      <w:pPr>
        <w:spacing w:after="0" w:line="240" w:lineRule="auto"/>
        <w:jc w:val="both"/>
        <w:rPr>
          <w:i/>
          <w:color w:val="FF0000"/>
        </w:rPr>
      </w:pPr>
      <w:r>
        <w:rPr>
          <w:i/>
          <w:color w:val="FF0000"/>
        </w:rPr>
        <w:t xml:space="preserve">A estos Trofeos, el municipio organizador podrá añadir otros premios y trofeos si lo desea: </w:t>
      </w:r>
      <w:r w:rsidR="0035450C">
        <w:rPr>
          <w:i/>
          <w:color w:val="FF0000"/>
        </w:rPr>
        <w:t>categoría local</w:t>
      </w:r>
      <w:r>
        <w:rPr>
          <w:i/>
          <w:color w:val="FF0000"/>
        </w:rPr>
        <w:t>, premios en metálico, medallas, vales, tarjetas regalo…</w:t>
      </w:r>
    </w:p>
    <w:p w:rsidR="00A72844" w:rsidRDefault="00A72844">
      <w:pPr>
        <w:spacing w:after="0" w:line="240" w:lineRule="auto"/>
        <w:jc w:val="both"/>
        <w:rPr>
          <w:i/>
          <w:color w:val="FF0000"/>
        </w:rPr>
      </w:pPr>
    </w:p>
    <w:p w:rsidR="00A72844" w:rsidRDefault="004F30B4">
      <w:pPr>
        <w:spacing w:after="0" w:line="240" w:lineRule="auto"/>
        <w:jc w:val="both"/>
        <w:rPr>
          <w:color w:val="FF0000"/>
        </w:rPr>
      </w:pPr>
      <w:r>
        <w:rPr>
          <w:i/>
          <w:color w:val="FF0000"/>
        </w:rPr>
        <w:t>En cualquier caso, partiendo de los mínimos, los premios no serán acumulables y se especificará en este apartado, junto a todos los premios que se entregarán en el torneo.</w:t>
      </w:r>
      <w:r>
        <w:rPr>
          <w:color w:val="FF0000"/>
        </w:rPr>
        <w:t xml:space="preserve"> </w:t>
      </w:r>
    </w:p>
    <w:p w:rsidR="00A72844" w:rsidRDefault="00A72844">
      <w:pPr>
        <w:spacing w:after="0" w:line="240" w:lineRule="auto"/>
        <w:jc w:val="both"/>
        <w:rPr>
          <w:color w:val="FF0000"/>
        </w:rPr>
      </w:pPr>
    </w:p>
    <w:p w:rsidR="00A72844" w:rsidRDefault="00A72844">
      <w:pPr>
        <w:spacing w:after="0" w:line="240" w:lineRule="auto"/>
        <w:jc w:val="both"/>
        <w:rPr>
          <w:color w:val="FF0000"/>
        </w:rPr>
      </w:pPr>
    </w:p>
    <w:p w:rsidR="00A72844" w:rsidRDefault="004F30B4">
      <w:pPr>
        <w:spacing w:after="0" w:line="240" w:lineRule="auto"/>
        <w:jc w:val="both"/>
        <w:rPr>
          <w:b/>
        </w:rPr>
      </w:pPr>
      <w:r>
        <w:rPr>
          <w:b/>
        </w:rPr>
        <w:t>Sistema de desempate:</w:t>
      </w:r>
    </w:p>
    <w:p w:rsidR="00A72844" w:rsidRDefault="00A72844">
      <w:pPr>
        <w:spacing w:after="0" w:line="240" w:lineRule="auto"/>
        <w:jc w:val="both"/>
        <w:rPr>
          <w:b/>
        </w:rPr>
      </w:pPr>
    </w:p>
    <w:p w:rsidR="00A72844" w:rsidRDefault="004F30B4">
      <w:pPr>
        <w:spacing w:after="0" w:line="240" w:lineRule="auto"/>
        <w:jc w:val="both"/>
      </w:pPr>
      <w:r>
        <w:t xml:space="preserve">1) </w:t>
      </w:r>
      <w:proofErr w:type="spellStart"/>
      <w:r>
        <w:t>Buchholz</w:t>
      </w:r>
      <w:proofErr w:type="spellEnd"/>
      <w:r>
        <w:t xml:space="preserve"> -1</w:t>
      </w:r>
    </w:p>
    <w:p w:rsidR="00A72844" w:rsidRDefault="004F30B4">
      <w:pPr>
        <w:spacing w:after="0" w:line="240" w:lineRule="auto"/>
        <w:jc w:val="both"/>
      </w:pPr>
      <w:r>
        <w:t xml:space="preserve">2) </w:t>
      </w:r>
      <w:proofErr w:type="spellStart"/>
      <w:r>
        <w:t>Buchholz</w:t>
      </w:r>
      <w:proofErr w:type="spellEnd"/>
      <w:r>
        <w:t xml:space="preserve"> Total</w:t>
      </w:r>
    </w:p>
    <w:p w:rsidR="00A72844" w:rsidRDefault="004F30B4">
      <w:pPr>
        <w:spacing w:after="0" w:line="240" w:lineRule="auto"/>
        <w:jc w:val="both"/>
      </w:pPr>
      <w:r>
        <w:t xml:space="preserve">3) </w:t>
      </w:r>
      <w:proofErr w:type="spellStart"/>
      <w:r>
        <w:t>Sonnenborn</w:t>
      </w:r>
      <w:proofErr w:type="spellEnd"/>
      <w:r>
        <w:t>-Berger</w:t>
      </w:r>
    </w:p>
    <w:p w:rsidR="00A72844" w:rsidRDefault="004F30B4">
      <w:pPr>
        <w:spacing w:after="0" w:line="240" w:lineRule="auto"/>
        <w:jc w:val="both"/>
      </w:pPr>
      <w:r>
        <w:t>4) Progresivo (</w:t>
      </w:r>
      <w:proofErr w:type="spellStart"/>
      <w:r>
        <w:t>Cumulative</w:t>
      </w:r>
      <w:proofErr w:type="spellEnd"/>
      <w:r>
        <w:t>)</w:t>
      </w:r>
    </w:p>
    <w:p w:rsidR="00A72844" w:rsidRDefault="004F30B4">
      <w:pPr>
        <w:spacing w:after="0" w:line="240" w:lineRule="auto"/>
        <w:jc w:val="both"/>
        <w:rPr>
          <w:b/>
          <w:color w:val="000000"/>
        </w:rPr>
      </w:pPr>
      <w:r>
        <w:t>5) Resultado Particular</w:t>
      </w:r>
    </w:p>
    <w:p w:rsidR="00A72844" w:rsidRDefault="00A72844">
      <w:pPr>
        <w:spacing w:after="0" w:line="240" w:lineRule="auto"/>
        <w:jc w:val="both"/>
        <w:rPr>
          <w:b/>
          <w:color w:val="000000"/>
        </w:rPr>
      </w:pPr>
    </w:p>
    <w:p w:rsidR="00A72844" w:rsidRDefault="004F30B4">
      <w:pPr>
        <w:spacing w:after="0" w:line="240" w:lineRule="auto"/>
        <w:jc w:val="both"/>
        <w:rPr>
          <w:color w:val="000000"/>
        </w:rPr>
      </w:pPr>
      <w:r>
        <w:rPr>
          <w:color w:val="000000"/>
        </w:rPr>
        <w:t xml:space="preserve">* En caso de persistir el empate entre los dos primeros, se disputará una partida </w:t>
      </w:r>
      <w:proofErr w:type="spellStart"/>
      <w:r>
        <w:rPr>
          <w:color w:val="000000"/>
        </w:rPr>
        <w:t>Blitz</w:t>
      </w:r>
      <w:proofErr w:type="spellEnd"/>
      <w:r>
        <w:rPr>
          <w:color w:val="000000"/>
        </w:rPr>
        <w:t xml:space="preserve"> a caída de bandera, con sorteo de colores, 5 minutos para blancas y 4 minutos para negras, en la que el jugador de piezas blancas tiene que ganar. En caso de tablas el desempate se decantaría para el jugador de piezas negras.</w:t>
      </w:r>
    </w:p>
    <w:p w:rsidR="00A72844" w:rsidRDefault="00A72844">
      <w:pPr>
        <w:spacing w:after="0" w:line="240" w:lineRule="auto"/>
        <w:jc w:val="both"/>
        <w:rPr>
          <w:color w:val="000000"/>
        </w:rPr>
      </w:pPr>
    </w:p>
    <w:p w:rsidR="00A72844" w:rsidRDefault="004F30B4">
      <w:pPr>
        <w:spacing w:after="0" w:line="240" w:lineRule="auto"/>
        <w:jc w:val="both"/>
        <w:rPr>
          <w:color w:val="000000"/>
        </w:rPr>
      </w:pPr>
      <w:r>
        <w:rPr>
          <w:color w:val="000000"/>
        </w:rPr>
        <w:t xml:space="preserve">* En el caso de encontrarse dos jugadores empatados a la totalidad de los puntos (7 puntos), lo que supone que no han jugado entre ellos, y solo en este caso, el primer criterio de desempate entre ellos será la disputa de una partida </w:t>
      </w:r>
      <w:proofErr w:type="spellStart"/>
      <w:r>
        <w:rPr>
          <w:color w:val="000000"/>
        </w:rPr>
        <w:t>Blitz</w:t>
      </w:r>
      <w:proofErr w:type="spellEnd"/>
      <w:r>
        <w:rPr>
          <w:color w:val="000000"/>
        </w:rPr>
        <w:t xml:space="preserve"> a caída de bandera, con sorteo de colores, 5 minutos para blancas y 4 minutos para negras, en la que el jugador de piezas blancas tiene que ganar. En caso de tablas el desempate se decantaría para el jugador de piezas negras.</w:t>
      </w:r>
    </w:p>
    <w:p w:rsidR="00A72844" w:rsidRDefault="00A72844">
      <w:pPr>
        <w:spacing w:after="0" w:line="240" w:lineRule="auto"/>
        <w:jc w:val="both"/>
        <w:rPr>
          <w:color w:val="000000"/>
        </w:rPr>
      </w:pPr>
    </w:p>
    <w:p w:rsidR="00A72844" w:rsidRDefault="00A72844">
      <w:pPr>
        <w:spacing w:after="0" w:line="240" w:lineRule="auto"/>
        <w:jc w:val="both"/>
        <w:rPr>
          <w:color w:val="000000"/>
        </w:rPr>
      </w:pPr>
    </w:p>
    <w:p w:rsidR="00A72844" w:rsidRDefault="004F30B4">
      <w:pPr>
        <w:spacing w:after="0" w:line="240" w:lineRule="auto"/>
        <w:jc w:val="both"/>
        <w:rPr>
          <w:b/>
          <w:color w:val="000000"/>
        </w:rPr>
      </w:pPr>
      <w:r>
        <w:rPr>
          <w:b/>
          <w:color w:val="000000"/>
        </w:rPr>
        <w:t>Ausencias e incomparecencias:</w:t>
      </w:r>
    </w:p>
    <w:p w:rsidR="00A72844" w:rsidRDefault="00A72844">
      <w:pPr>
        <w:spacing w:after="0" w:line="240" w:lineRule="auto"/>
        <w:jc w:val="both"/>
        <w:rPr>
          <w:b/>
          <w:color w:val="000000"/>
        </w:rPr>
      </w:pPr>
    </w:p>
    <w:p w:rsidR="00A72844" w:rsidRDefault="004F30B4">
      <w:pPr>
        <w:tabs>
          <w:tab w:val="left" w:pos="0"/>
        </w:tabs>
        <w:jc w:val="both"/>
        <w:rPr>
          <w:b/>
        </w:rPr>
      </w:pPr>
      <w:r>
        <w:t>Los jugadores inscritos a una prueba que por cualquier motivo no puedan asistir, tendrán la obligación de comunicarlo a la organización y justificarlo, de la forma siguiente:</w:t>
      </w:r>
    </w:p>
    <w:p w:rsidR="00A72844" w:rsidRDefault="004F30B4">
      <w:pPr>
        <w:numPr>
          <w:ilvl w:val="0"/>
          <w:numId w:val="2"/>
        </w:numPr>
        <w:pBdr>
          <w:top w:val="nil"/>
          <w:left w:val="nil"/>
          <w:bottom w:val="nil"/>
          <w:right w:val="nil"/>
          <w:between w:val="nil"/>
        </w:pBdr>
        <w:tabs>
          <w:tab w:val="left" w:pos="709"/>
        </w:tabs>
        <w:spacing w:after="0"/>
        <w:jc w:val="both"/>
        <w:rPr>
          <w:i/>
          <w:color w:val="000000"/>
        </w:rPr>
      </w:pPr>
      <w:r>
        <w:rPr>
          <w:b/>
          <w:i/>
          <w:color w:val="000000"/>
        </w:rPr>
        <w:t>Comunicación de ausencias hasta 24 horas antes de la prueba</w:t>
      </w:r>
      <w:r>
        <w:rPr>
          <w:i/>
          <w:color w:val="000000"/>
        </w:rPr>
        <w:t xml:space="preserve">. </w:t>
      </w:r>
      <w:r>
        <w:rPr>
          <w:color w:val="000000"/>
        </w:rPr>
        <w:t>En el formulario de inscripción al torneo habilitado en la página web de la Delegación Malagueña de Ajedrez  deberá utilizar la opción de darse de baja (</w:t>
      </w:r>
      <w:hyperlink r:id="rId12">
        <w:r>
          <w:rPr>
            <w:color w:val="3B4658"/>
            <w:u w:val="single"/>
          </w:rPr>
          <w:t>www.ajedrezmalaga.org</w:t>
        </w:r>
      </w:hyperlink>
      <w:r>
        <w:rPr>
          <w:color w:val="000000"/>
        </w:rPr>
        <w:t>).</w:t>
      </w:r>
    </w:p>
    <w:p w:rsidR="00A72844" w:rsidRDefault="004F30B4">
      <w:pPr>
        <w:numPr>
          <w:ilvl w:val="0"/>
          <w:numId w:val="2"/>
        </w:numPr>
        <w:pBdr>
          <w:top w:val="nil"/>
          <w:left w:val="nil"/>
          <w:bottom w:val="nil"/>
          <w:right w:val="nil"/>
          <w:between w:val="nil"/>
        </w:pBdr>
        <w:tabs>
          <w:tab w:val="left" w:pos="709"/>
        </w:tabs>
        <w:jc w:val="both"/>
        <w:rPr>
          <w:i/>
          <w:color w:val="000000"/>
        </w:rPr>
      </w:pPr>
      <w:r>
        <w:rPr>
          <w:b/>
          <w:i/>
          <w:color w:val="000000"/>
        </w:rPr>
        <w:t>Comunicación de ausencias  con menos de 24 horas o el mismo día de la prueba</w:t>
      </w:r>
      <w:r>
        <w:rPr>
          <w:i/>
          <w:color w:val="000000"/>
        </w:rPr>
        <w:t>.</w:t>
      </w:r>
      <w:r>
        <w:rPr>
          <w:color w:val="000000"/>
        </w:rPr>
        <w:t xml:space="preserve"> Deberá dirigir un correo electrónico a </w:t>
      </w:r>
      <w:hyperlink r:id="rId13">
        <w:r>
          <w:rPr>
            <w:color w:val="3B4658"/>
            <w:u w:val="single"/>
          </w:rPr>
          <w:t>ajedrezmalaga@gmail.com</w:t>
        </w:r>
      </w:hyperlink>
      <w:r>
        <w:rPr>
          <w:color w:val="000000"/>
        </w:rPr>
        <w:t xml:space="preserve">  adjuntando en él,  la documentación oportuna que justifique dicha ausencia. </w:t>
      </w:r>
    </w:p>
    <w:p w:rsidR="00A72844" w:rsidRDefault="004F30B4">
      <w:pPr>
        <w:tabs>
          <w:tab w:val="left" w:pos="709"/>
        </w:tabs>
        <w:jc w:val="both"/>
        <w:rPr>
          <w:color w:val="000000"/>
        </w:rPr>
      </w:pPr>
      <w:r>
        <w:rPr>
          <w:color w:val="000000"/>
        </w:rPr>
        <w:t>Las  ausencias  no comunicadas a la organización o no justificadas correctamente, tendrán una penalización automática para el jugador en cuestión, que conllevará la exclusión en los siguientes dos torneos. Si se diera el caso de 3 incomparecencias a lo largo del Circuito, el jugador en cuestión perdería el derecho a inscribirse en ningún torneo en lo que quede de Circuito.</w:t>
      </w:r>
    </w:p>
    <w:p w:rsidR="00A72844" w:rsidRDefault="00A72844">
      <w:pPr>
        <w:spacing w:after="0" w:line="240" w:lineRule="auto"/>
        <w:jc w:val="both"/>
        <w:rPr>
          <w:b/>
          <w:color w:val="000000"/>
        </w:rPr>
      </w:pPr>
    </w:p>
    <w:p w:rsidR="00A72844" w:rsidRDefault="004F30B4">
      <w:pPr>
        <w:spacing w:after="0" w:line="240" w:lineRule="auto"/>
        <w:jc w:val="both"/>
        <w:rPr>
          <w:b/>
        </w:rPr>
      </w:pPr>
      <w:r>
        <w:rPr>
          <w:b/>
          <w:color w:val="000000"/>
        </w:rPr>
        <w:t>Aplicación de reglamento</w:t>
      </w:r>
      <w:r>
        <w:rPr>
          <w:color w:val="000000"/>
        </w:rPr>
        <w:t>:</w:t>
      </w:r>
    </w:p>
    <w:p w:rsidR="00A72844" w:rsidRDefault="00A72844">
      <w:pPr>
        <w:spacing w:after="0" w:line="240" w:lineRule="auto"/>
        <w:jc w:val="both"/>
        <w:rPr>
          <w:b/>
        </w:rPr>
      </w:pPr>
    </w:p>
    <w:p w:rsidR="00A72844" w:rsidRDefault="004F30B4">
      <w:pPr>
        <w:spacing w:after="0" w:line="240" w:lineRule="auto"/>
        <w:jc w:val="both"/>
        <w:rPr>
          <w:b/>
        </w:rPr>
      </w:pPr>
      <w:r>
        <w:rPr>
          <w:color w:val="000000"/>
        </w:rPr>
        <w:t>Las decisiones del árbitro son inapelables.</w:t>
      </w:r>
      <w:r>
        <w:t xml:space="preserve"> </w:t>
      </w:r>
      <w:r>
        <w:rPr>
          <w:color w:val="000000"/>
        </w:rPr>
        <w:t>Para lo no especificado en estas bases se atenderá al Reglamento de</w:t>
      </w:r>
      <w:r>
        <w:t xml:space="preserve"> </w:t>
      </w:r>
      <w:r>
        <w:rPr>
          <w:color w:val="000000"/>
        </w:rPr>
        <w:t>Competiciones Individuales Oficiales en Andalucía, a las Leyes del Ajedrez de</w:t>
      </w:r>
      <w:r>
        <w:t xml:space="preserve"> </w:t>
      </w:r>
      <w:r>
        <w:rPr>
          <w:color w:val="000000"/>
        </w:rPr>
        <w:t>la FIDE y el Código de Ética FIDE</w:t>
      </w:r>
    </w:p>
    <w:p w:rsidR="00A72844" w:rsidRDefault="00A72844">
      <w:pPr>
        <w:spacing w:after="0" w:line="240" w:lineRule="auto"/>
        <w:jc w:val="both"/>
        <w:rPr>
          <w:color w:val="000000"/>
        </w:rPr>
      </w:pPr>
    </w:p>
    <w:p w:rsidR="00A72844" w:rsidRDefault="00A72844">
      <w:pPr>
        <w:spacing w:after="0" w:line="240" w:lineRule="auto"/>
        <w:jc w:val="both"/>
        <w:rPr>
          <w:color w:val="000000"/>
        </w:rPr>
      </w:pPr>
    </w:p>
    <w:p w:rsidR="00A72844" w:rsidRDefault="004F30B4">
      <w:pPr>
        <w:spacing w:after="0" w:line="240" w:lineRule="auto"/>
        <w:jc w:val="both"/>
        <w:rPr>
          <w:color w:val="000000"/>
        </w:rPr>
      </w:pPr>
      <w:r>
        <w:rPr>
          <w:b/>
          <w:color w:val="000000"/>
        </w:rPr>
        <w:t>Información de interés turístico</w:t>
      </w:r>
      <w:r>
        <w:rPr>
          <w:color w:val="000000"/>
        </w:rPr>
        <w:t>:</w:t>
      </w:r>
    </w:p>
    <w:p w:rsidR="00A72844" w:rsidRDefault="00A72844">
      <w:pPr>
        <w:spacing w:after="0" w:line="240" w:lineRule="auto"/>
        <w:jc w:val="both"/>
        <w:rPr>
          <w:color w:val="000000"/>
        </w:rPr>
      </w:pPr>
    </w:p>
    <w:p w:rsidR="00A72844" w:rsidRDefault="00A72844">
      <w:pPr>
        <w:spacing w:after="0" w:line="240" w:lineRule="auto"/>
        <w:jc w:val="both"/>
        <w:rPr>
          <w:color w:val="000000"/>
        </w:rPr>
      </w:pPr>
    </w:p>
    <w:p w:rsidR="00A72844" w:rsidRDefault="004F30B4">
      <w:pPr>
        <w:spacing w:after="0" w:line="240" w:lineRule="auto"/>
        <w:jc w:val="both"/>
        <w:rPr>
          <w:color w:val="000000"/>
        </w:rPr>
      </w:pPr>
      <w:r>
        <w:rPr>
          <w:b/>
          <w:color w:val="000000"/>
        </w:rPr>
        <w:t>Información sobre alojamiento y restauración en la zona</w:t>
      </w:r>
      <w:r>
        <w:rPr>
          <w:color w:val="000000"/>
        </w:rPr>
        <w:t>:</w:t>
      </w:r>
    </w:p>
    <w:p w:rsidR="00A72844" w:rsidRDefault="00A72844">
      <w:pPr>
        <w:spacing w:after="0" w:line="240" w:lineRule="auto"/>
        <w:jc w:val="both"/>
      </w:pPr>
    </w:p>
    <w:p w:rsidR="00A72844" w:rsidRDefault="00A72844">
      <w:pPr>
        <w:keepLines/>
        <w:tabs>
          <w:tab w:val="left" w:pos="0"/>
        </w:tabs>
        <w:spacing w:after="120" w:line="240" w:lineRule="auto"/>
        <w:jc w:val="both"/>
        <w:rPr>
          <w:rFonts w:ascii="Verdana" w:eastAsia="Verdana" w:hAnsi="Verdana" w:cs="Verdana"/>
        </w:rPr>
      </w:pPr>
    </w:p>
    <w:p w:rsidR="00A72844" w:rsidRDefault="004F30B4">
      <w:pPr>
        <w:jc w:val="center"/>
        <w:rPr>
          <w:b/>
        </w:rPr>
      </w:pPr>
      <w:r>
        <w:rPr>
          <w:b/>
        </w:rPr>
        <w:t>Organiza:</w:t>
      </w:r>
    </w:p>
    <w:p w:rsidR="00A72844" w:rsidRDefault="004F30B4">
      <w:pPr>
        <w:jc w:val="center"/>
      </w:pPr>
      <w:r>
        <w:t>(…).</w:t>
      </w:r>
    </w:p>
    <w:p w:rsidR="00A72844" w:rsidRDefault="004F30B4">
      <w:pPr>
        <w:jc w:val="center"/>
      </w:pPr>
      <w:r>
        <w:t>Diputación de Málaga.</w:t>
      </w:r>
    </w:p>
    <w:p w:rsidR="00A72844" w:rsidRDefault="004F30B4">
      <w:pPr>
        <w:jc w:val="center"/>
      </w:pPr>
      <w:r>
        <w:t>Federación Andaluza de Ajedrez.</w:t>
      </w:r>
    </w:p>
    <w:p w:rsidR="00A72844" w:rsidRDefault="004F30B4">
      <w:pPr>
        <w:jc w:val="center"/>
      </w:pPr>
      <w:r>
        <w:t>Delegación Malagueña de Ajedrez.</w:t>
      </w:r>
    </w:p>
    <w:p w:rsidR="00A72844" w:rsidRDefault="00A72844">
      <w:pPr>
        <w:keepLines/>
        <w:tabs>
          <w:tab w:val="left" w:pos="0"/>
        </w:tabs>
        <w:spacing w:after="120" w:line="240" w:lineRule="auto"/>
        <w:jc w:val="both"/>
        <w:rPr>
          <w:rFonts w:ascii="Verdana" w:eastAsia="Verdana" w:hAnsi="Verdana" w:cs="Verdana"/>
        </w:rPr>
      </w:pPr>
    </w:p>
    <w:p w:rsidR="00A72844" w:rsidRDefault="00A72844">
      <w:pPr>
        <w:spacing w:line="240" w:lineRule="auto"/>
        <w:jc w:val="center"/>
        <w:rPr>
          <w:b/>
          <w:color w:val="000000"/>
          <w:sz w:val="18"/>
          <w:szCs w:val="18"/>
        </w:rPr>
      </w:pPr>
    </w:p>
    <w:p w:rsidR="00A72844" w:rsidRDefault="004F30B4">
      <w:pPr>
        <w:spacing w:line="240" w:lineRule="auto"/>
        <w:jc w:val="center"/>
        <w:rPr>
          <w:b/>
          <w:color w:val="000000"/>
          <w:sz w:val="18"/>
          <w:szCs w:val="18"/>
        </w:rPr>
      </w:pPr>
      <w:r>
        <w:rPr>
          <w:b/>
          <w:color w:val="000000"/>
          <w:sz w:val="18"/>
          <w:szCs w:val="18"/>
        </w:rPr>
        <w:t xml:space="preserve">ENVIAR, EN FORMATO PDF, POR E-MAIL A </w:t>
      </w:r>
      <w:hyperlink r:id="rId14">
        <w:r>
          <w:rPr>
            <w:b/>
            <w:color w:val="0563C1"/>
            <w:sz w:val="18"/>
            <w:szCs w:val="18"/>
            <w:u w:val="single"/>
          </w:rPr>
          <w:t>apaniagua@malaga.es</w:t>
        </w:r>
      </w:hyperlink>
      <w:r>
        <w:rPr>
          <w:b/>
          <w:sz w:val="18"/>
          <w:szCs w:val="18"/>
        </w:rPr>
        <w:t xml:space="preserve"> y </w:t>
      </w:r>
      <w:hyperlink r:id="rId15">
        <w:r>
          <w:rPr>
            <w:b/>
            <w:color w:val="1155CC"/>
            <w:sz w:val="18"/>
            <w:szCs w:val="18"/>
            <w:u w:val="single"/>
          </w:rPr>
          <w:t>delegado@ajedrezmalaga.org</w:t>
        </w:r>
      </w:hyperlink>
      <w:r>
        <w:rPr>
          <w:b/>
          <w:sz w:val="18"/>
          <w:szCs w:val="18"/>
        </w:rPr>
        <w:t xml:space="preserve"> </w:t>
      </w:r>
      <w:r>
        <w:rPr>
          <w:b/>
          <w:color w:val="000000"/>
          <w:sz w:val="18"/>
          <w:szCs w:val="18"/>
        </w:rPr>
        <w:t xml:space="preserve"> </w:t>
      </w:r>
    </w:p>
    <w:p w:rsidR="00A72844" w:rsidRDefault="004F30B4">
      <w:pPr>
        <w:spacing w:line="240" w:lineRule="auto"/>
        <w:jc w:val="center"/>
      </w:pPr>
      <w:r>
        <w:rPr>
          <w:b/>
          <w:smallCaps/>
          <w:color w:val="000000"/>
          <w:sz w:val="18"/>
          <w:szCs w:val="18"/>
        </w:rPr>
        <w:t>AL MENOS 21 DÍAS ANTES DEL INICIO DE LA PRUEBA DEPORTIVA</w:t>
      </w:r>
      <w:r>
        <w:rPr>
          <w:b/>
          <w:color w:val="000000"/>
          <w:sz w:val="18"/>
          <w:szCs w:val="18"/>
        </w:rPr>
        <w:t>. </w:t>
      </w:r>
    </w:p>
    <w:p w:rsidR="00A72844" w:rsidRDefault="00A72844">
      <w:pPr>
        <w:pBdr>
          <w:top w:val="nil"/>
          <w:left w:val="nil"/>
          <w:bottom w:val="nil"/>
          <w:right w:val="nil"/>
          <w:between w:val="nil"/>
        </w:pBdr>
        <w:spacing w:before="240" w:after="240" w:line="240" w:lineRule="auto"/>
        <w:jc w:val="both"/>
        <w:rPr>
          <w:b/>
          <w:color w:val="000000"/>
        </w:rPr>
      </w:pPr>
    </w:p>
    <w:sectPr w:rsidR="00A72844" w:rsidSect="00197393">
      <w:footerReference w:type="default" r:id="rId16"/>
      <w:headerReference w:type="first" r:id="rId17"/>
      <w:pgSz w:w="11906" w:h="16838"/>
      <w:pgMar w:top="1135" w:right="720" w:bottom="720" w:left="720" w:header="79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AD" w:rsidRDefault="009128AD">
      <w:pPr>
        <w:spacing w:after="0" w:line="240" w:lineRule="auto"/>
      </w:pPr>
      <w:r>
        <w:separator/>
      </w:r>
    </w:p>
  </w:endnote>
  <w:endnote w:type="continuationSeparator" w:id="0">
    <w:p w:rsidR="009128AD" w:rsidRDefault="0091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Noto Sans Symbols">
    <w:charset w:val="01"/>
    <w:family w:val="auto"/>
    <w:pitch w:val="default"/>
  </w:font>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4" w:rsidRDefault="00A72844">
    <w:pPr>
      <w:tabs>
        <w:tab w:val="left" w:pos="622"/>
        <w:tab w:val="center" w:pos="5075"/>
      </w:tabs>
      <w:jc w:val="both"/>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AD" w:rsidRDefault="009128AD">
      <w:pPr>
        <w:spacing w:after="0" w:line="240" w:lineRule="auto"/>
      </w:pPr>
      <w:r>
        <w:separator/>
      </w:r>
    </w:p>
  </w:footnote>
  <w:footnote w:type="continuationSeparator" w:id="0">
    <w:p w:rsidR="009128AD" w:rsidRDefault="00912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4" w:rsidRDefault="00A72844">
    <w:pPr>
      <w:pBdr>
        <w:top w:val="nil"/>
        <w:left w:val="nil"/>
        <w:bottom w:val="nil"/>
        <w:right w:val="nil"/>
        <w:between w:val="nil"/>
      </w:pBdr>
      <w:tabs>
        <w:tab w:val="center" w:pos="4513"/>
        <w:tab w:val="right" w:pos="9026"/>
        <w:tab w:val="left" w:pos="313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2636A"/>
    <w:multiLevelType w:val="multilevel"/>
    <w:tmpl w:val="61184AB8"/>
    <w:lvl w:ilvl="0">
      <w:start w:val="2007"/>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59B11F6"/>
    <w:multiLevelType w:val="multilevel"/>
    <w:tmpl w:val="690C668A"/>
    <w:lvl w:ilvl="0">
      <w:start w:val="2005"/>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2844"/>
    <w:rsid w:val="00016D81"/>
    <w:rsid w:val="00152766"/>
    <w:rsid w:val="00197393"/>
    <w:rsid w:val="00312A8A"/>
    <w:rsid w:val="0035450C"/>
    <w:rsid w:val="004F30B4"/>
    <w:rsid w:val="008F7C91"/>
    <w:rsid w:val="009128AD"/>
    <w:rsid w:val="00A604DC"/>
    <w:rsid w:val="00A72844"/>
    <w:rsid w:val="00BE4E92"/>
    <w:rsid w:val="00C34906"/>
    <w:rsid w:val="00E54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E77F8-C717-434E-BA03-A858793A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4B"/>
  </w:style>
  <w:style w:type="paragraph" w:styleId="Ttulo1">
    <w:name w:val="heading 1"/>
    <w:basedOn w:val="Normal"/>
    <w:next w:val="Normal"/>
    <w:link w:val="Ttulo1Car"/>
    <w:uiPriority w:val="9"/>
    <w:qFormat/>
    <w:rsid w:val="00034524"/>
    <w:pPr>
      <w:keepNext/>
      <w:keepLines/>
      <w:spacing w:before="240" w:after="240"/>
      <w:outlineLvl w:val="0"/>
    </w:pPr>
    <w:rPr>
      <w:rFonts w:asciiTheme="majorHAnsi" w:eastAsiaTheme="majorEastAsia" w:hAnsiTheme="majorHAnsi" w:cstheme="majorBidi"/>
      <w:color w:val="242852" w:themeColor="text2"/>
      <w:sz w:val="32"/>
      <w:szCs w:val="32"/>
    </w:rPr>
  </w:style>
  <w:style w:type="paragraph" w:styleId="Ttulo2">
    <w:name w:val="heading 2"/>
    <w:basedOn w:val="Normal"/>
    <w:next w:val="Normal"/>
    <w:link w:val="Ttulo2Car"/>
    <w:uiPriority w:val="9"/>
    <w:unhideWhenUsed/>
    <w:qFormat/>
    <w:rsid w:val="001204A2"/>
    <w:pPr>
      <w:keepNext/>
      <w:keepLines/>
      <w:spacing w:before="40" w:after="0"/>
      <w:outlineLvl w:val="1"/>
    </w:pPr>
    <w:rPr>
      <w:rFonts w:asciiTheme="majorHAnsi" w:eastAsiaTheme="majorEastAsia" w:hAnsiTheme="majorHAnsi" w:cstheme="majorBidi"/>
      <w:caps/>
      <w:color w:val="242852" w:themeColor="text2"/>
      <w:szCs w:val="26"/>
    </w:rPr>
  </w:style>
  <w:style w:type="paragraph" w:styleId="Ttulo3">
    <w:name w:val="heading 3"/>
    <w:basedOn w:val="Normal"/>
    <w:next w:val="Normal"/>
    <w:rsid w:val="0019739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946835"/>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Ttulo5">
    <w:name w:val="heading 5"/>
    <w:basedOn w:val="Normal"/>
    <w:next w:val="Normal"/>
    <w:link w:val="Ttulo5Car"/>
    <w:uiPriority w:val="9"/>
    <w:semiHidden/>
    <w:unhideWhenUsed/>
    <w:qFormat/>
    <w:rsid w:val="00216A97"/>
    <w:pPr>
      <w:keepNext/>
      <w:keepLines/>
      <w:spacing w:before="40" w:after="0"/>
      <w:outlineLvl w:val="4"/>
    </w:pPr>
    <w:rPr>
      <w:rFonts w:asciiTheme="majorHAnsi" w:eastAsiaTheme="majorEastAsia" w:hAnsiTheme="majorHAnsi" w:cstheme="majorBidi"/>
      <w:color w:val="374C80" w:themeColor="accent1" w:themeShade="BF"/>
    </w:rPr>
  </w:style>
  <w:style w:type="paragraph" w:styleId="Ttulo6">
    <w:name w:val="heading 6"/>
    <w:basedOn w:val="Normal"/>
    <w:next w:val="Normal"/>
    <w:rsid w:val="00197393"/>
    <w:pPr>
      <w:keepNext/>
      <w:keepLines/>
      <w:spacing w:before="200" w:after="40"/>
      <w:outlineLvl w:val="5"/>
    </w:pPr>
    <w:rPr>
      <w:b/>
      <w:sz w:val="20"/>
      <w:szCs w:val="20"/>
    </w:rPr>
  </w:style>
  <w:style w:type="paragraph" w:styleId="Ttulo8">
    <w:name w:val="heading 8"/>
    <w:basedOn w:val="Normal"/>
    <w:next w:val="Normal"/>
    <w:link w:val="Ttulo8Car"/>
    <w:uiPriority w:val="9"/>
    <w:semiHidden/>
    <w:unhideWhenUsed/>
    <w:qFormat/>
    <w:rsid w:val="00216A9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97393"/>
    <w:tblPr>
      <w:tblCellMar>
        <w:top w:w="0" w:type="dxa"/>
        <w:left w:w="0" w:type="dxa"/>
        <w:bottom w:w="0" w:type="dxa"/>
        <w:right w:w="0" w:type="dxa"/>
      </w:tblCellMar>
    </w:tblPr>
  </w:style>
  <w:style w:type="paragraph" w:styleId="Puesto">
    <w:name w:val="Title"/>
    <w:basedOn w:val="Normal"/>
    <w:next w:val="Normal"/>
    <w:rsid w:val="00197393"/>
    <w:pPr>
      <w:keepNext/>
      <w:keepLines/>
      <w:spacing w:before="480" w:after="120"/>
    </w:pPr>
    <w:rPr>
      <w:b/>
      <w:sz w:val="72"/>
      <w:szCs w:val="72"/>
    </w:rPr>
  </w:style>
  <w:style w:type="character" w:styleId="Textodelmarcadordeposicin">
    <w:name w:val="Placeholder Text"/>
    <w:basedOn w:val="Fuentedeprrafopredeter"/>
    <w:uiPriority w:val="99"/>
    <w:semiHidden/>
    <w:rsid w:val="00A229F8"/>
    <w:rPr>
      <w:color w:val="808080"/>
    </w:rPr>
  </w:style>
  <w:style w:type="table" w:styleId="Tablaconcuadrcula">
    <w:name w:val="Table Grid"/>
    <w:basedOn w:val="Tablanormal"/>
    <w:uiPriority w:val="39"/>
    <w:rsid w:val="00784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intenso">
    <w:name w:val="Intense Emphasis"/>
    <w:basedOn w:val="Fuentedeprrafopredeter"/>
    <w:uiPriority w:val="21"/>
    <w:semiHidden/>
    <w:unhideWhenUsed/>
    <w:qFormat/>
    <w:rsid w:val="00174A50"/>
    <w:rPr>
      <w:i/>
      <w:iCs/>
      <w:color w:val="417A84" w:themeColor="accent5" w:themeShade="BF"/>
    </w:rPr>
  </w:style>
  <w:style w:type="paragraph" w:styleId="Citadestacada">
    <w:name w:val="Intense Quote"/>
    <w:basedOn w:val="Normal"/>
    <w:next w:val="Normal"/>
    <w:link w:val="CitadestacadaCar"/>
    <w:uiPriority w:val="30"/>
    <w:semiHidden/>
    <w:unhideWhenUsed/>
    <w:qFormat/>
    <w:rsid w:val="00174A50"/>
    <w:pPr>
      <w:pBdr>
        <w:top w:val="single" w:sz="4" w:space="10" w:color="374C80" w:themeColor="accent1" w:themeShade="BF"/>
        <w:bottom w:val="single" w:sz="4" w:space="10" w:color="374C80" w:themeColor="accent1" w:themeShade="BF"/>
      </w:pBdr>
      <w:spacing w:before="360" w:after="360"/>
      <w:ind w:left="864" w:right="864"/>
      <w:jc w:val="center"/>
    </w:pPr>
    <w:rPr>
      <w:i/>
      <w:iCs/>
      <w:color w:val="417A84" w:themeColor="accent5" w:themeShade="BF"/>
    </w:rPr>
  </w:style>
  <w:style w:type="character" w:customStyle="1" w:styleId="CitadestacadaCar">
    <w:name w:val="Cita destacada Car"/>
    <w:basedOn w:val="Fuentedeprrafopredeter"/>
    <w:link w:val="Citadestacada"/>
    <w:uiPriority w:val="30"/>
    <w:semiHidden/>
    <w:rsid w:val="00174A50"/>
    <w:rPr>
      <w:i/>
      <w:iCs/>
      <w:color w:val="417A84" w:themeColor="accent5" w:themeShade="BF"/>
      <w:sz w:val="24"/>
    </w:rPr>
  </w:style>
  <w:style w:type="paragraph" w:styleId="Encabezado">
    <w:name w:val="header"/>
    <w:basedOn w:val="Normal"/>
    <w:link w:val="EncabezadoCar"/>
    <w:uiPriority w:val="99"/>
    <w:rsid w:val="002C571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A55E9"/>
    <w:rPr>
      <w:lang w:val="en-US"/>
    </w:rPr>
  </w:style>
  <w:style w:type="paragraph" w:styleId="Piedepgina">
    <w:name w:val="footer"/>
    <w:basedOn w:val="Normal"/>
    <w:link w:val="PiedepginaCar"/>
    <w:uiPriority w:val="99"/>
    <w:rsid w:val="002C571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A55E9"/>
    <w:rPr>
      <w:lang w:val="en-US"/>
    </w:rPr>
  </w:style>
  <w:style w:type="paragraph" w:styleId="Textodeglobo">
    <w:name w:val="Balloon Text"/>
    <w:basedOn w:val="Normal"/>
    <w:link w:val="TextodegloboCar"/>
    <w:uiPriority w:val="99"/>
    <w:semiHidden/>
    <w:unhideWhenUsed/>
    <w:rsid w:val="00A114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478"/>
    <w:rPr>
      <w:rFonts w:ascii="Tahoma" w:hAnsi="Tahoma" w:cs="Tahoma"/>
      <w:sz w:val="16"/>
      <w:szCs w:val="16"/>
      <w:lang w:val="de-DE"/>
    </w:rPr>
  </w:style>
  <w:style w:type="paragraph" w:styleId="Saludo">
    <w:name w:val="Salutation"/>
    <w:basedOn w:val="Sangranormal"/>
    <w:next w:val="Normal"/>
    <w:link w:val="SaludoCar"/>
    <w:uiPriority w:val="10"/>
    <w:unhideWhenUsed/>
    <w:qFormat/>
    <w:rsid w:val="00034524"/>
    <w:pPr>
      <w:spacing w:after="240" w:line="276" w:lineRule="auto"/>
      <w:ind w:left="0"/>
    </w:pPr>
    <w:rPr>
      <w:rFonts w:asciiTheme="majorHAnsi" w:eastAsiaTheme="minorEastAsia" w:hAnsiTheme="majorHAnsi" w:cstheme="minorHAnsi"/>
      <w:color w:val="242852" w:themeColor="text2"/>
      <w:sz w:val="32"/>
      <w:szCs w:val="20"/>
      <w:lang w:eastAsia="ja-JP"/>
    </w:rPr>
  </w:style>
  <w:style w:type="character" w:customStyle="1" w:styleId="SaludoCar">
    <w:name w:val="Saludo Car"/>
    <w:basedOn w:val="Fuentedeprrafopredeter"/>
    <w:link w:val="Saludo"/>
    <w:uiPriority w:val="10"/>
    <w:rsid w:val="00034524"/>
    <w:rPr>
      <w:rFonts w:asciiTheme="majorHAnsi" w:eastAsiaTheme="minorEastAsia" w:hAnsiTheme="majorHAnsi" w:cstheme="minorHAnsi"/>
      <w:color w:val="242852" w:themeColor="text2"/>
      <w:sz w:val="32"/>
      <w:szCs w:val="20"/>
      <w:lang w:val="en-US" w:eastAsia="ja-JP"/>
    </w:rPr>
  </w:style>
  <w:style w:type="paragraph" w:styleId="Sangranormal">
    <w:name w:val="Normal Indent"/>
    <w:basedOn w:val="Normal"/>
    <w:uiPriority w:val="99"/>
    <w:semiHidden/>
    <w:unhideWhenUsed/>
    <w:rsid w:val="006A319B"/>
    <w:pPr>
      <w:ind w:left="708"/>
    </w:pPr>
  </w:style>
  <w:style w:type="character" w:customStyle="1" w:styleId="Ttulo1Car">
    <w:name w:val="Título 1 Car"/>
    <w:basedOn w:val="Fuentedeprrafopredeter"/>
    <w:link w:val="Ttulo1"/>
    <w:uiPriority w:val="9"/>
    <w:rsid w:val="00034524"/>
    <w:rPr>
      <w:rFonts w:asciiTheme="majorHAnsi" w:eastAsiaTheme="majorEastAsia" w:hAnsiTheme="majorHAnsi" w:cstheme="majorBidi"/>
      <w:color w:val="242852" w:themeColor="text2"/>
      <w:sz w:val="32"/>
      <w:szCs w:val="32"/>
    </w:rPr>
  </w:style>
  <w:style w:type="character" w:customStyle="1" w:styleId="Ttulo2Car">
    <w:name w:val="Título 2 Car"/>
    <w:basedOn w:val="Fuentedeprrafopredeter"/>
    <w:link w:val="Ttulo2"/>
    <w:uiPriority w:val="9"/>
    <w:rsid w:val="001204A2"/>
    <w:rPr>
      <w:rFonts w:asciiTheme="majorHAnsi" w:eastAsiaTheme="majorEastAsia" w:hAnsiTheme="majorHAnsi" w:cstheme="majorBidi"/>
      <w:caps/>
      <w:color w:val="242852" w:themeColor="text2"/>
      <w:sz w:val="24"/>
      <w:szCs w:val="26"/>
    </w:rPr>
  </w:style>
  <w:style w:type="character" w:styleId="Referenciaintensa">
    <w:name w:val="Intense Reference"/>
    <w:basedOn w:val="Fuentedeprrafopredeter"/>
    <w:uiPriority w:val="32"/>
    <w:semiHidden/>
    <w:unhideWhenUsed/>
    <w:qFormat/>
    <w:rsid w:val="00174A50"/>
    <w:rPr>
      <w:b/>
      <w:bCs/>
      <w:caps w:val="0"/>
      <w:smallCaps/>
      <w:color w:val="417A84" w:themeColor="accent5" w:themeShade="BF"/>
      <w:spacing w:val="5"/>
    </w:rPr>
  </w:style>
  <w:style w:type="character" w:customStyle="1" w:styleId="Ttulo4Car">
    <w:name w:val="Título 4 Car"/>
    <w:basedOn w:val="Fuentedeprrafopredeter"/>
    <w:link w:val="Ttulo4"/>
    <w:uiPriority w:val="9"/>
    <w:semiHidden/>
    <w:rsid w:val="00946835"/>
    <w:rPr>
      <w:rFonts w:asciiTheme="majorHAnsi" w:eastAsiaTheme="majorEastAsia" w:hAnsiTheme="majorHAnsi" w:cstheme="majorBidi"/>
      <w:i/>
      <w:iCs/>
      <w:color w:val="374C80" w:themeColor="accent1" w:themeShade="BF"/>
      <w:sz w:val="24"/>
    </w:rPr>
  </w:style>
  <w:style w:type="character" w:customStyle="1" w:styleId="Ttulo5Car">
    <w:name w:val="Título 5 Car"/>
    <w:basedOn w:val="Fuentedeprrafopredeter"/>
    <w:link w:val="Ttulo5"/>
    <w:uiPriority w:val="9"/>
    <w:semiHidden/>
    <w:rsid w:val="00216A97"/>
    <w:rPr>
      <w:rFonts w:asciiTheme="majorHAnsi" w:eastAsiaTheme="majorEastAsia" w:hAnsiTheme="majorHAnsi" w:cstheme="majorBidi"/>
      <w:color w:val="374C80" w:themeColor="accent1" w:themeShade="BF"/>
      <w:sz w:val="24"/>
    </w:rPr>
  </w:style>
  <w:style w:type="character" w:customStyle="1" w:styleId="Ttulo8Car">
    <w:name w:val="Título 8 Car"/>
    <w:basedOn w:val="Fuentedeprrafopredeter"/>
    <w:link w:val="Ttulo8"/>
    <w:uiPriority w:val="9"/>
    <w:semiHidden/>
    <w:rsid w:val="00216A97"/>
    <w:rPr>
      <w:rFonts w:asciiTheme="majorHAnsi" w:eastAsiaTheme="majorEastAsia" w:hAnsiTheme="majorHAnsi" w:cstheme="majorBidi"/>
      <w:color w:val="272727" w:themeColor="text1" w:themeTint="D8"/>
      <w:sz w:val="21"/>
      <w:szCs w:val="21"/>
    </w:rPr>
  </w:style>
  <w:style w:type="paragraph" w:styleId="Textodebloque">
    <w:name w:val="Block Text"/>
    <w:basedOn w:val="Normal"/>
    <w:uiPriority w:val="99"/>
    <w:semiHidden/>
    <w:unhideWhenUsed/>
    <w:rsid w:val="00216A97"/>
    <w:pPr>
      <w:pBdr>
        <w:top w:val="single" w:sz="2" w:space="10" w:color="374C80" w:themeColor="accent1" w:themeShade="BF" w:shadow="1"/>
        <w:left w:val="single" w:sz="2" w:space="10" w:color="374C80" w:themeColor="accent1" w:themeShade="BF" w:shadow="1"/>
        <w:bottom w:val="single" w:sz="2" w:space="10" w:color="374C80" w:themeColor="accent1" w:themeShade="BF" w:shadow="1"/>
        <w:right w:val="single" w:sz="2" w:space="10" w:color="374C80" w:themeColor="accent1" w:themeShade="BF" w:shadow="1"/>
      </w:pBdr>
      <w:ind w:left="1152" w:right="1152"/>
    </w:pPr>
    <w:rPr>
      <w:rFonts w:eastAsiaTheme="minorEastAsia"/>
      <w:i/>
      <w:iCs/>
      <w:color w:val="374C80" w:themeColor="accent1" w:themeShade="BF"/>
    </w:rPr>
  </w:style>
  <w:style w:type="character" w:styleId="Hipervnculovisitado">
    <w:name w:val="FollowedHyperlink"/>
    <w:basedOn w:val="Fuentedeprrafopredeter"/>
    <w:uiPriority w:val="99"/>
    <w:semiHidden/>
    <w:unhideWhenUsed/>
    <w:rsid w:val="00216A97"/>
    <w:rPr>
      <w:color w:val="2B5258" w:themeColor="accent5" w:themeShade="80"/>
      <w:u w:val="single"/>
    </w:rPr>
  </w:style>
  <w:style w:type="character" w:styleId="Hipervnculo">
    <w:name w:val="Hyperlink"/>
    <w:basedOn w:val="Fuentedeprrafopredeter"/>
    <w:uiPriority w:val="99"/>
    <w:unhideWhenUsed/>
    <w:rsid w:val="00216A97"/>
    <w:rPr>
      <w:color w:val="3B4658" w:themeColor="accent4" w:themeShade="80"/>
      <w:u w:val="single"/>
    </w:rPr>
  </w:style>
  <w:style w:type="character" w:customStyle="1" w:styleId="Mencinnoresuelta1">
    <w:name w:val="Mención no resuelta 1"/>
    <w:basedOn w:val="Fuentedeprrafopredeter"/>
    <w:uiPriority w:val="99"/>
    <w:semiHidden/>
    <w:unhideWhenUsed/>
    <w:rsid w:val="00216A97"/>
    <w:rPr>
      <w:color w:val="0E57C4" w:themeColor="background2" w:themeShade="80"/>
      <w:shd w:val="clear" w:color="auto" w:fill="E6E6E6"/>
    </w:rPr>
  </w:style>
  <w:style w:type="paragraph" w:customStyle="1" w:styleId="Informacindecontacto">
    <w:name w:val="Información de contacto"/>
    <w:basedOn w:val="Normal"/>
    <w:uiPriority w:val="12"/>
    <w:qFormat/>
    <w:rsid w:val="001204A2"/>
    <w:pPr>
      <w:spacing w:after="0" w:line="240" w:lineRule="auto"/>
      <w:ind w:left="720"/>
      <w:contextualSpacing/>
    </w:pPr>
    <w:rPr>
      <w:sz w:val="20"/>
    </w:rPr>
  </w:style>
  <w:style w:type="paragraph" w:customStyle="1" w:styleId="Imagen">
    <w:name w:val="Imagen"/>
    <w:basedOn w:val="Normal"/>
    <w:uiPriority w:val="1"/>
    <w:semiHidden/>
    <w:rsid w:val="00552BE7"/>
    <w:pPr>
      <w:ind w:left="720"/>
    </w:pPr>
    <w:rPr>
      <w:noProof/>
    </w:rPr>
  </w:style>
  <w:style w:type="paragraph" w:styleId="Cierre">
    <w:name w:val="Closing"/>
    <w:basedOn w:val="Normal"/>
    <w:link w:val="CierreCar"/>
    <w:uiPriority w:val="99"/>
    <w:unhideWhenUsed/>
    <w:qFormat/>
    <w:rsid w:val="00034524"/>
    <w:pPr>
      <w:spacing w:before="240" w:after="240" w:line="240" w:lineRule="auto"/>
    </w:pPr>
  </w:style>
  <w:style w:type="character" w:customStyle="1" w:styleId="CierreCar">
    <w:name w:val="Cierre Car"/>
    <w:basedOn w:val="Fuentedeprrafopredeter"/>
    <w:link w:val="Cierre"/>
    <w:uiPriority w:val="99"/>
    <w:rsid w:val="00034524"/>
  </w:style>
  <w:style w:type="paragraph" w:styleId="Firma">
    <w:name w:val="Signature"/>
    <w:basedOn w:val="Normal"/>
    <w:link w:val="FirmaCar"/>
    <w:uiPriority w:val="11"/>
    <w:unhideWhenUsed/>
    <w:qFormat/>
    <w:rsid w:val="00EF0FD2"/>
    <w:pPr>
      <w:spacing w:after="0" w:line="240" w:lineRule="auto"/>
    </w:pPr>
    <w:rPr>
      <w:rFonts w:asciiTheme="majorHAnsi" w:hAnsiTheme="majorHAnsi"/>
      <w:color w:val="242852" w:themeColor="text2"/>
      <w:sz w:val="32"/>
    </w:rPr>
  </w:style>
  <w:style w:type="character" w:customStyle="1" w:styleId="FirmaCar">
    <w:name w:val="Firma Car"/>
    <w:basedOn w:val="Fuentedeprrafopredeter"/>
    <w:link w:val="Firma"/>
    <w:uiPriority w:val="11"/>
    <w:rsid w:val="00EF0FD2"/>
    <w:rPr>
      <w:rFonts w:asciiTheme="majorHAnsi" w:hAnsiTheme="majorHAnsi"/>
      <w:color w:val="242852" w:themeColor="text2"/>
      <w:sz w:val="32"/>
    </w:rPr>
  </w:style>
  <w:style w:type="paragraph" w:styleId="Fecha">
    <w:name w:val="Date"/>
    <w:basedOn w:val="Normal"/>
    <w:next w:val="Normal"/>
    <w:link w:val="FechaCar"/>
    <w:uiPriority w:val="99"/>
    <w:qFormat/>
    <w:rsid w:val="00085CD0"/>
    <w:pPr>
      <w:jc w:val="right"/>
    </w:pPr>
    <w:rPr>
      <w:rFonts w:asciiTheme="majorHAnsi" w:hAnsiTheme="majorHAnsi"/>
      <w:sz w:val="32"/>
    </w:rPr>
  </w:style>
  <w:style w:type="character" w:customStyle="1" w:styleId="FechaCar">
    <w:name w:val="Fecha Car"/>
    <w:basedOn w:val="Fuentedeprrafopredeter"/>
    <w:link w:val="Fecha"/>
    <w:uiPriority w:val="99"/>
    <w:rsid w:val="00085CD0"/>
    <w:rPr>
      <w:rFonts w:asciiTheme="majorHAnsi" w:hAnsiTheme="majorHAnsi"/>
      <w:sz w:val="32"/>
    </w:rPr>
  </w:style>
  <w:style w:type="character" w:customStyle="1" w:styleId="UnresolvedMention">
    <w:name w:val="Unresolved Mention"/>
    <w:basedOn w:val="Fuentedeprrafopredeter"/>
    <w:uiPriority w:val="99"/>
    <w:semiHidden/>
    <w:unhideWhenUsed/>
    <w:rsid w:val="00E76E48"/>
    <w:rPr>
      <w:color w:val="605E5C"/>
      <w:shd w:val="clear" w:color="auto" w:fill="E1DFDD"/>
    </w:rPr>
  </w:style>
  <w:style w:type="paragraph" w:styleId="Prrafodelista">
    <w:name w:val="List Paragraph"/>
    <w:basedOn w:val="Normal"/>
    <w:uiPriority w:val="34"/>
    <w:qFormat/>
    <w:rsid w:val="004327E7"/>
    <w:pPr>
      <w:ind w:left="720"/>
      <w:contextualSpacing/>
    </w:pPr>
    <w:rPr>
      <w:sz w:val="22"/>
      <w:szCs w:val="22"/>
    </w:rPr>
  </w:style>
  <w:style w:type="paragraph" w:styleId="Subttulo">
    <w:name w:val="Subtitle"/>
    <w:basedOn w:val="Normal"/>
    <w:next w:val="Normal"/>
    <w:rsid w:val="00197393"/>
    <w:pPr>
      <w:keepNext/>
      <w:keepLines/>
      <w:spacing w:before="360" w:after="80"/>
    </w:pPr>
    <w:rPr>
      <w:rFonts w:ascii="Georgia" w:eastAsia="Georgia" w:hAnsi="Georgia" w:cs="Georgia"/>
      <w:i/>
      <w:color w:val="666666"/>
      <w:sz w:val="48"/>
      <w:szCs w:val="48"/>
    </w:rPr>
  </w:style>
  <w:style w:type="table" w:customStyle="1" w:styleId="a">
    <w:basedOn w:val="TableNormal"/>
    <w:rsid w:val="00197393"/>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legado@ajedrezmalaga.org" TargetMode="External"/><Relationship Id="rId13" Type="http://schemas.openxmlformats.org/officeDocument/2006/relationships/hyperlink" Target="mailto:ajedrezmalag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jedrezmalag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64.org/" TargetMode="External"/><Relationship Id="rId5" Type="http://schemas.openxmlformats.org/officeDocument/2006/relationships/webSettings" Target="webSettings.xml"/><Relationship Id="rId15" Type="http://schemas.openxmlformats.org/officeDocument/2006/relationships/hyperlink" Target="mailto:delegado@ajedrezmalaga.org" TargetMode="External"/><Relationship Id="rId10" Type="http://schemas.openxmlformats.org/officeDocument/2006/relationships/hyperlink" Target="https://ajedrezmalag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jedrezmalaga.org/circuito-diputacion/" TargetMode="External"/><Relationship Id="rId14" Type="http://schemas.openxmlformats.org/officeDocument/2006/relationships/hyperlink" Target="mailto:apaniagua@malaga.es" TargetMode="External"/></Relationships>
</file>

<file path=word/theme/theme1.xml><?xml version="1.0" encoding="utf-8"?>
<a:theme xmlns:a="http://schemas.openxmlformats.org/drawingml/2006/main" name="Office Them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5">
      <a:majorFont>
        <a:latin typeface="Berlin Sans FB"/>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BoA8UwhjJjiucUxFBsBB9leBSw==">CgMxLjAyCGguZ2pkZ3hzOAByITFJRHpCQXJ6cTdxNmhIZk13MWtyYVFIaFpjeHoxS1FfbQ==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1073</Words>
  <Characters>5902</Characters>
  <Application>Microsoft Office Word</Application>
  <DocSecurity>0</DocSecurity>
  <Lines>49</Lines>
  <Paragraphs>13</Paragraphs>
  <ScaleCrop>false</ScaleCrop>
  <Company>HP</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Paniagua Ramírez</dc:creator>
  <cp:lastModifiedBy>Pablo Guirado Castillo</cp:lastModifiedBy>
  <cp:revision>4</cp:revision>
  <dcterms:created xsi:type="dcterms:W3CDTF">2023-05-10T06:00:00Z</dcterms:created>
  <dcterms:modified xsi:type="dcterms:W3CDTF">2023-06-05T18:10:00Z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